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BC49F" w14:textId="14C05D91" w:rsidR="003B44BC" w:rsidRPr="005C1969" w:rsidRDefault="00B64679">
      <w:pPr>
        <w:spacing w:before="200"/>
        <w:rPr>
          <w:rFonts w:asciiTheme="minorHAnsi" w:hAnsiTheme="minorHAnsi"/>
        </w:rPr>
      </w:pPr>
      <w:r w:rsidRPr="005C1969">
        <w:rPr>
          <w:rFonts w:asciiTheme="minorHAnsi" w:hAnsiTheme="minorHAnsi"/>
          <w:noProof/>
        </w:rPr>
        <w:drawing>
          <wp:inline distT="0" distB="0" distL="0" distR="0" wp14:anchorId="1D38E43B" wp14:editId="14762D9B">
            <wp:extent cx="6184900" cy="946150"/>
            <wp:effectExtent l="0" t="0" r="6350" b="6350"/>
            <wp:docPr id="8682045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84900" cy="946150"/>
                    </a:xfrm>
                    <a:prstGeom prst="rect">
                      <a:avLst/>
                    </a:prstGeom>
                    <a:noFill/>
                    <a:ln>
                      <a:noFill/>
                    </a:ln>
                  </pic:spPr>
                </pic:pic>
              </a:graphicData>
            </a:graphic>
          </wp:inline>
        </w:drawing>
      </w:r>
    </w:p>
    <w:p w14:paraId="2762FA72" w14:textId="77777777" w:rsidR="00B64679" w:rsidRPr="004623BD" w:rsidRDefault="00B64679">
      <w:pPr>
        <w:spacing w:before="200"/>
        <w:rPr>
          <w:rFonts w:asciiTheme="minorHAnsi" w:hAnsiTheme="minorHAnsi"/>
          <w:sz w:val="12"/>
          <w:szCs w:val="12"/>
        </w:rPr>
      </w:pP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6"/>
      </w:tblGrid>
      <w:tr w:rsidR="00261934" w:rsidRPr="005C1969" w14:paraId="5D9F9E75" w14:textId="77777777" w:rsidTr="00B64679">
        <w:trPr>
          <w:trHeight w:val="1173"/>
        </w:trPr>
        <w:tc>
          <w:tcPr>
            <w:tcW w:w="9696" w:type="dxa"/>
            <w:tcBorders>
              <w:top w:val="single" w:sz="6" w:space="0" w:color="003087"/>
              <w:left w:val="none" w:sz="0" w:space="0" w:color="FFFFFF"/>
              <w:bottom w:val="single" w:sz="6" w:space="0" w:color="003087"/>
              <w:right w:val="none" w:sz="0" w:space="0" w:color="FFFFFF"/>
            </w:tcBorders>
            <w:shd w:val="clear" w:color="auto" w:fill="F0F4FB"/>
            <w:tcMar>
              <w:top w:w="120" w:type="dxa"/>
              <w:left w:w="300" w:type="dxa"/>
              <w:bottom w:w="80" w:type="dxa"/>
              <w:right w:w="300" w:type="dxa"/>
            </w:tcMar>
          </w:tcPr>
          <w:p w14:paraId="3442E1D4" w14:textId="1B1D00AD" w:rsidR="003B44BC" w:rsidRPr="00B008B7" w:rsidRDefault="00513C50" w:rsidP="00ED275F">
            <w:pPr>
              <w:spacing w:before="60" w:after="60"/>
              <w:jc w:val="center"/>
              <w:rPr>
                <w:rFonts w:asciiTheme="minorHAnsi" w:hAnsiTheme="minorHAnsi"/>
                <w:sz w:val="24"/>
                <w:szCs w:val="24"/>
              </w:rPr>
            </w:pPr>
            <w:r w:rsidRPr="00B70228">
              <w:rPr>
                <w:rFonts w:asciiTheme="minorHAnsi" w:hAnsiTheme="minorHAnsi"/>
                <w:i/>
                <w:color w:val="003087"/>
                <w:sz w:val="22"/>
              </w:rPr>
              <w:t xml:space="preserve"> </w:t>
            </w:r>
            <w:r w:rsidRPr="00B008B7">
              <w:rPr>
                <w:rFonts w:asciiTheme="minorHAnsi" w:hAnsiTheme="minorHAnsi"/>
                <w:i/>
                <w:color w:val="003087"/>
                <w:sz w:val="24"/>
                <w:szCs w:val="24"/>
              </w:rPr>
              <w:t>Έ</w:t>
            </w:r>
            <w:r w:rsidR="0002169A" w:rsidRPr="00B008B7">
              <w:rPr>
                <w:rFonts w:asciiTheme="minorHAnsi" w:hAnsiTheme="minorHAnsi"/>
                <w:i/>
                <w:color w:val="003087"/>
                <w:sz w:val="24"/>
                <w:szCs w:val="24"/>
              </w:rPr>
              <w:t xml:space="preserve">χουμε τη δέσμευση και υποχρέωση να διασφαλίζουμε τη σταθερότητα των τιμών και να προστατεύουμε τη χρηματοπιστωτική σταθερότητα — πάντα ενεργώντας προς το συμφέρον των συμπολιτών </w:t>
            </w:r>
            <w:r w:rsidR="00ED275F" w:rsidRPr="00B008B7">
              <w:rPr>
                <w:rFonts w:asciiTheme="minorHAnsi" w:hAnsiTheme="minorHAnsi"/>
                <w:i/>
                <w:color w:val="003087"/>
                <w:sz w:val="24"/>
                <w:szCs w:val="24"/>
              </w:rPr>
              <w:t>μας</w:t>
            </w:r>
            <w:r w:rsidR="000954D7" w:rsidRPr="00B008B7">
              <w:rPr>
                <w:rFonts w:asciiTheme="minorHAnsi" w:hAnsiTheme="minorHAnsi"/>
                <w:i/>
                <w:color w:val="003087"/>
                <w:sz w:val="24"/>
                <w:szCs w:val="24"/>
              </w:rPr>
              <w:t>.</w:t>
            </w:r>
          </w:p>
          <w:p w14:paraId="04DE423C" w14:textId="44C8D647" w:rsidR="003B44BC" w:rsidRPr="00B008B7" w:rsidRDefault="0002169A" w:rsidP="0002169A">
            <w:pPr>
              <w:spacing w:before="40" w:after="60"/>
              <w:jc w:val="center"/>
              <w:rPr>
                <w:rFonts w:asciiTheme="minorHAnsi" w:hAnsiTheme="minorHAnsi"/>
                <w:color w:val="666666"/>
                <w:sz w:val="22"/>
                <w:szCs w:val="22"/>
              </w:rPr>
            </w:pPr>
            <w:r w:rsidRPr="00B008B7">
              <w:rPr>
                <w:rFonts w:asciiTheme="minorHAnsi" w:hAnsiTheme="minorHAnsi"/>
                <w:color w:val="666666"/>
                <w:sz w:val="22"/>
                <w:szCs w:val="22"/>
              </w:rPr>
              <w:t xml:space="preserve">Γιάννης Στουρνάρας, Διοικητής </w:t>
            </w:r>
            <w:r w:rsidR="005D37FD" w:rsidRPr="00B008B7">
              <w:rPr>
                <w:rFonts w:asciiTheme="minorHAnsi" w:hAnsiTheme="minorHAnsi"/>
                <w:color w:val="666666"/>
                <w:sz w:val="22"/>
                <w:szCs w:val="22"/>
              </w:rPr>
              <w:t>της</w:t>
            </w:r>
            <w:r w:rsidRPr="00B008B7">
              <w:rPr>
                <w:rFonts w:asciiTheme="minorHAnsi" w:hAnsiTheme="minorHAnsi"/>
                <w:color w:val="666666"/>
                <w:sz w:val="22"/>
                <w:szCs w:val="22"/>
              </w:rPr>
              <w:t xml:space="preserve"> Τράπεζας της Ελλάδος</w:t>
            </w:r>
          </w:p>
        </w:tc>
      </w:tr>
    </w:tbl>
    <w:p w14:paraId="4F8EE437" w14:textId="77777777" w:rsidR="003B44BC" w:rsidRPr="00712A12" w:rsidRDefault="003B44BC">
      <w:pPr>
        <w:spacing w:before="160"/>
        <w:rPr>
          <w:rFonts w:asciiTheme="minorHAnsi" w:hAnsiTheme="minorHAnsi"/>
          <w:sz w:val="4"/>
          <w:szCs w:val="4"/>
        </w:rPr>
      </w:pPr>
    </w:p>
    <w:p w14:paraId="37D5F988" w14:textId="684C783A" w:rsidR="003B44BC" w:rsidRPr="008B67DF" w:rsidRDefault="00C12D14" w:rsidP="00FC1102">
      <w:pPr>
        <w:spacing w:before="60"/>
        <w:jc w:val="both"/>
        <w:rPr>
          <w:rFonts w:asciiTheme="minorHAnsi" w:hAnsiTheme="minorHAnsi"/>
          <w:sz w:val="22"/>
          <w:szCs w:val="22"/>
        </w:rPr>
      </w:pPr>
      <w:r w:rsidRPr="008B67DF">
        <w:rPr>
          <w:rFonts w:asciiTheme="minorHAnsi" w:hAnsiTheme="minorHAnsi"/>
          <w:color w:val="444444"/>
          <w:sz w:val="22"/>
          <w:szCs w:val="22"/>
        </w:rPr>
        <w:t>Ακούμε συχνά για "επιτόκια", "πληθωρισμό" και "</w:t>
      </w:r>
      <w:r w:rsidR="0002169A" w:rsidRPr="008B67DF">
        <w:rPr>
          <w:rFonts w:asciiTheme="minorHAnsi" w:hAnsiTheme="minorHAnsi"/>
          <w:color w:val="444444"/>
          <w:sz w:val="22"/>
          <w:szCs w:val="22"/>
        </w:rPr>
        <w:t>σταθερότητα των τιμών</w:t>
      </w:r>
      <w:r w:rsidRPr="008B67DF">
        <w:rPr>
          <w:rFonts w:asciiTheme="minorHAnsi" w:hAnsiTheme="minorHAnsi"/>
          <w:color w:val="444444"/>
          <w:sz w:val="22"/>
          <w:szCs w:val="22"/>
        </w:rPr>
        <w:t xml:space="preserve">" </w:t>
      </w:r>
      <w:r w:rsidR="00BA6813">
        <w:rPr>
          <w:rFonts w:asciiTheme="minorHAnsi" w:hAnsiTheme="minorHAnsi"/>
          <w:color w:val="444444"/>
          <w:sz w:val="22"/>
          <w:szCs w:val="22"/>
        </w:rPr>
        <w:t>-</w:t>
      </w:r>
      <w:r w:rsidRPr="008B67DF">
        <w:rPr>
          <w:rFonts w:asciiTheme="minorHAnsi" w:hAnsiTheme="minorHAnsi"/>
          <w:color w:val="444444"/>
          <w:sz w:val="22"/>
          <w:szCs w:val="22"/>
        </w:rPr>
        <w:t xml:space="preserve"> αλλά τι κάνει η Τράπεζα της Ελλάδος στην πράξη; Ποιος είναι ο ρόλος της στη ζωή μας; </w:t>
      </w:r>
      <w:r w:rsidR="00513C50" w:rsidRPr="008B67DF">
        <w:rPr>
          <w:rFonts w:asciiTheme="minorHAnsi" w:hAnsiTheme="minorHAnsi"/>
          <w:color w:val="444444"/>
          <w:sz w:val="22"/>
          <w:szCs w:val="22"/>
        </w:rPr>
        <w:t xml:space="preserve">Τι εννοούμε όταν μιλάμε για πληθωρισμό ή αποπληθωρισμό; Και πώς όλα αυτά συνδέονται με την καθημερινότητα και την ευημερία των πολιτών στη χώρα μας και σε όλη τη ζώνη του ευρώ; </w:t>
      </w:r>
      <w:r w:rsidRPr="008B67DF">
        <w:rPr>
          <w:rFonts w:asciiTheme="minorHAnsi" w:hAnsiTheme="minorHAnsi"/>
          <w:color w:val="444444"/>
          <w:sz w:val="22"/>
          <w:szCs w:val="22"/>
        </w:rPr>
        <w:t>Αυτό το φυλλάδιο απαντά με απλά λόγια στις ερωτήσεις</w:t>
      </w:r>
      <w:r w:rsidR="00513C50" w:rsidRPr="008B67DF">
        <w:rPr>
          <w:rFonts w:asciiTheme="minorHAnsi" w:hAnsiTheme="minorHAnsi"/>
          <w:color w:val="444444"/>
          <w:sz w:val="22"/>
          <w:szCs w:val="22"/>
        </w:rPr>
        <w:t xml:space="preserve"> αυτές</w:t>
      </w:r>
      <w:r w:rsidR="008B67DF">
        <w:rPr>
          <w:rFonts w:asciiTheme="minorHAnsi" w:hAnsiTheme="minorHAnsi"/>
          <w:color w:val="444444"/>
          <w:sz w:val="22"/>
          <w:szCs w:val="22"/>
        </w:rPr>
        <w:t>.</w:t>
      </w:r>
    </w:p>
    <w:p w14:paraId="7BE870BF" w14:textId="77777777" w:rsidR="003B44BC" w:rsidRPr="004623BD" w:rsidRDefault="003B44BC">
      <w:pPr>
        <w:pBdr>
          <w:bottom w:val="single" w:sz="4" w:space="1" w:color="C5D4EC"/>
        </w:pBdr>
        <w:spacing w:before="160" w:after="160"/>
        <w:rPr>
          <w:rFonts w:asciiTheme="minorHAnsi" w:hAnsiTheme="minorHAnsi"/>
          <w:sz w:val="12"/>
          <w:szCs w:val="12"/>
        </w:rPr>
      </w:pPr>
    </w:p>
    <w:p w14:paraId="1F3A3BCF" w14:textId="36E56D88" w:rsidR="003B44BC" w:rsidRPr="00B70228" w:rsidRDefault="00C12D14">
      <w:pPr>
        <w:spacing w:before="280" w:after="120"/>
        <w:rPr>
          <w:rFonts w:asciiTheme="minorHAnsi" w:hAnsiTheme="minorHAnsi"/>
        </w:rPr>
      </w:pPr>
      <w:r w:rsidRPr="00B70228">
        <w:rPr>
          <w:rFonts w:asciiTheme="minorHAnsi" w:hAnsiTheme="minorHAnsi"/>
          <w:b/>
          <w:color w:val="003087"/>
          <w:sz w:val="28"/>
        </w:rPr>
        <w:t xml:space="preserve">1. </w:t>
      </w:r>
      <w:r w:rsidR="003360EF" w:rsidRPr="00B70228">
        <w:rPr>
          <w:rFonts w:asciiTheme="minorHAnsi" w:hAnsiTheme="minorHAnsi"/>
          <w:b/>
          <w:color w:val="003087"/>
          <w:sz w:val="28"/>
        </w:rPr>
        <w:t xml:space="preserve">Η </w:t>
      </w:r>
      <w:r w:rsidRPr="00B70228">
        <w:rPr>
          <w:rFonts w:asciiTheme="minorHAnsi" w:hAnsiTheme="minorHAnsi"/>
          <w:b/>
          <w:color w:val="003087"/>
          <w:sz w:val="28"/>
        </w:rPr>
        <w:t>Τράπεζα της Ελλάδος</w:t>
      </w:r>
      <w:r w:rsidR="00C4394D" w:rsidRPr="00B70228">
        <w:rPr>
          <w:rFonts w:asciiTheme="minorHAnsi" w:hAnsiTheme="minorHAnsi"/>
        </w:rPr>
        <w:t xml:space="preserve"> </w:t>
      </w:r>
    </w:p>
    <w:p w14:paraId="181547BF" w14:textId="46DE69A9" w:rsidR="003B44BC" w:rsidRPr="008B67DF" w:rsidRDefault="004623BD">
      <w:pPr>
        <w:spacing w:before="60" w:after="80"/>
        <w:jc w:val="both"/>
        <w:rPr>
          <w:rFonts w:asciiTheme="minorHAnsi" w:hAnsiTheme="minorHAnsi"/>
          <w:color w:val="333333"/>
          <w:sz w:val="22"/>
          <w:szCs w:val="22"/>
        </w:rPr>
      </w:pPr>
      <w:r w:rsidRPr="008B67DF">
        <w:rPr>
          <w:rFonts w:asciiTheme="minorHAnsi" w:hAnsiTheme="minorHAnsi"/>
          <w:noProof/>
          <w:sz w:val="22"/>
          <w:szCs w:val="22"/>
        </w:rPr>
        <w:drawing>
          <wp:anchor distT="0" distB="0" distL="114300" distR="114300" simplePos="0" relativeHeight="251658241" behindDoc="1" locked="0" layoutInCell="1" allowOverlap="1" wp14:anchorId="2CCA1F33" wp14:editId="41B94614">
            <wp:simplePos x="0" y="0"/>
            <wp:positionH relativeFrom="column">
              <wp:posOffset>3813810</wp:posOffset>
            </wp:positionH>
            <wp:positionV relativeFrom="paragraph">
              <wp:posOffset>49530</wp:posOffset>
            </wp:positionV>
            <wp:extent cx="2654300" cy="1884680"/>
            <wp:effectExtent l="0" t="0" r="0" b="1270"/>
            <wp:wrapTight wrapText="bothSides">
              <wp:wrapPolygon edited="0">
                <wp:start x="0" y="0"/>
                <wp:lineTo x="0" y="21396"/>
                <wp:lineTo x="21393" y="21396"/>
                <wp:lineTo x="21393" y="0"/>
                <wp:lineTo x="0" y="0"/>
              </wp:wrapPolygon>
            </wp:wrapTight>
            <wp:docPr id="1011304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30416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4300" cy="1884680"/>
                    </a:xfrm>
                    <a:prstGeom prst="rect">
                      <a:avLst/>
                    </a:prstGeom>
                  </pic:spPr>
                </pic:pic>
              </a:graphicData>
            </a:graphic>
            <wp14:sizeRelH relativeFrom="page">
              <wp14:pctWidth>0</wp14:pctWidth>
            </wp14:sizeRelH>
            <wp14:sizeRelV relativeFrom="page">
              <wp14:pctHeight>0</wp14:pctHeight>
            </wp14:sizeRelV>
          </wp:anchor>
        </w:drawing>
      </w:r>
      <w:r w:rsidR="0002169A" w:rsidRPr="008B67DF">
        <w:rPr>
          <w:rFonts w:asciiTheme="minorHAnsi" w:hAnsiTheme="minorHAnsi"/>
          <w:color w:val="333333"/>
          <w:sz w:val="22"/>
          <w:szCs w:val="22"/>
        </w:rPr>
        <w:t>Η Τράπεζα της Ελλάδος είναι η κεντρική τράπεζα της χώρας. Ιδρύθηκε το 1927</w:t>
      </w:r>
      <w:r w:rsidR="001C1FCF" w:rsidRPr="008B67DF">
        <w:rPr>
          <w:rFonts w:asciiTheme="minorHAnsi" w:hAnsiTheme="minorHAnsi"/>
          <w:color w:val="333333"/>
          <w:sz w:val="22"/>
          <w:szCs w:val="22"/>
        </w:rPr>
        <w:t xml:space="preserve"> με σκοπό τη διασφάλιση της νομισματικής σταθερότητας και τη βελτίωση της οργάνωσης και λειτουργίας του πιστωτικού συστήματος της χώρας</w:t>
      </w:r>
      <w:r w:rsidR="008B4B98" w:rsidRPr="008B67DF">
        <w:rPr>
          <w:rFonts w:asciiTheme="minorHAnsi" w:hAnsiTheme="minorHAnsi"/>
          <w:color w:val="333333"/>
          <w:sz w:val="22"/>
          <w:szCs w:val="22"/>
        </w:rPr>
        <w:t>. Ά</w:t>
      </w:r>
      <w:r w:rsidR="0002169A" w:rsidRPr="008B67DF">
        <w:rPr>
          <w:rFonts w:asciiTheme="minorHAnsi" w:hAnsiTheme="minorHAnsi"/>
          <w:color w:val="333333"/>
          <w:sz w:val="22"/>
          <w:szCs w:val="22"/>
        </w:rPr>
        <w:t xml:space="preserve">νοιξε τις πύλες της το 1928, με έδρα την Αθήνα. Εδώ και σχεδόν έναν αιώνα αποτελεί βασικό πυλώνα σταθερότητας της ελληνικής οικονομίας. </w:t>
      </w:r>
    </w:p>
    <w:p w14:paraId="5BC25E7E" w14:textId="63383E66" w:rsidR="007B30CE" w:rsidRPr="00B37EA2" w:rsidRDefault="007B30CE" w:rsidP="00115CF4">
      <w:pPr>
        <w:pBdr>
          <w:bottom w:val="single" w:sz="4" w:space="1" w:color="C5D4EC"/>
        </w:pBdr>
        <w:spacing w:before="160" w:after="160"/>
        <w:jc w:val="both"/>
        <w:rPr>
          <w:rFonts w:asciiTheme="minorHAnsi" w:hAnsiTheme="minorHAnsi"/>
          <w:color w:val="333333"/>
          <w:sz w:val="22"/>
          <w:szCs w:val="22"/>
        </w:rPr>
      </w:pPr>
      <w:r w:rsidRPr="008B67DF">
        <w:rPr>
          <w:rFonts w:asciiTheme="minorHAnsi" w:hAnsiTheme="minorHAnsi"/>
          <w:color w:val="333333"/>
          <w:sz w:val="22"/>
          <w:szCs w:val="22"/>
        </w:rPr>
        <w:t xml:space="preserve">Από το 2001, η Τράπεζα της Ελλάδος είναι μέρος του Ευρωσυστήματος, που αποτελείται από την Ευρωπαϊκή Κεντρική Τράπεζα και τις </w:t>
      </w:r>
      <w:r w:rsidR="006B131B">
        <w:rPr>
          <w:rFonts w:asciiTheme="minorHAnsi" w:hAnsiTheme="minorHAnsi"/>
          <w:color w:val="333333"/>
          <w:sz w:val="22"/>
          <w:szCs w:val="22"/>
        </w:rPr>
        <w:t>ε</w:t>
      </w:r>
      <w:r w:rsidRPr="008B67DF">
        <w:rPr>
          <w:rFonts w:asciiTheme="minorHAnsi" w:hAnsiTheme="minorHAnsi"/>
          <w:color w:val="333333"/>
          <w:sz w:val="22"/>
          <w:szCs w:val="22"/>
        </w:rPr>
        <w:t xml:space="preserve">θνικές </w:t>
      </w:r>
      <w:r w:rsidR="006B131B">
        <w:rPr>
          <w:rFonts w:asciiTheme="minorHAnsi" w:hAnsiTheme="minorHAnsi"/>
          <w:color w:val="333333"/>
          <w:sz w:val="22"/>
          <w:szCs w:val="22"/>
        </w:rPr>
        <w:t>κ</w:t>
      </w:r>
      <w:r w:rsidRPr="008B67DF">
        <w:rPr>
          <w:rFonts w:asciiTheme="minorHAnsi" w:hAnsiTheme="minorHAnsi"/>
          <w:color w:val="333333"/>
          <w:sz w:val="22"/>
          <w:szCs w:val="22"/>
        </w:rPr>
        <w:t xml:space="preserve">εντρικές </w:t>
      </w:r>
      <w:r w:rsidR="006B131B">
        <w:rPr>
          <w:rFonts w:asciiTheme="minorHAnsi" w:hAnsiTheme="minorHAnsi"/>
          <w:color w:val="333333"/>
          <w:sz w:val="22"/>
          <w:szCs w:val="22"/>
        </w:rPr>
        <w:t>τ</w:t>
      </w:r>
      <w:r w:rsidRPr="008B67DF">
        <w:rPr>
          <w:rFonts w:asciiTheme="minorHAnsi" w:hAnsiTheme="minorHAnsi"/>
          <w:color w:val="333333"/>
          <w:sz w:val="22"/>
          <w:szCs w:val="22"/>
        </w:rPr>
        <w:t>ράπεζες των χωρών της</w:t>
      </w:r>
      <w:r w:rsidR="00B70228" w:rsidRPr="008B67DF">
        <w:rPr>
          <w:rFonts w:asciiTheme="minorHAnsi" w:hAnsiTheme="minorHAnsi"/>
          <w:color w:val="333333"/>
          <w:sz w:val="22"/>
          <w:szCs w:val="22"/>
        </w:rPr>
        <w:t xml:space="preserve"> Ευρωπαϊκής Ένωσης</w:t>
      </w:r>
      <w:r w:rsidRPr="008B67DF">
        <w:rPr>
          <w:rFonts w:asciiTheme="minorHAnsi" w:hAnsiTheme="minorHAnsi"/>
          <w:color w:val="333333"/>
          <w:sz w:val="22"/>
          <w:szCs w:val="22"/>
        </w:rPr>
        <w:t xml:space="preserve"> που έχουν υιοθετήσει το ευρώ. Από κοινού, έχουν την ευθύνη για τη </w:t>
      </w:r>
      <w:r w:rsidRPr="00B37EA2">
        <w:rPr>
          <w:rFonts w:asciiTheme="minorHAnsi" w:hAnsiTheme="minorHAnsi"/>
          <w:color w:val="333333"/>
          <w:sz w:val="22"/>
          <w:szCs w:val="22"/>
        </w:rPr>
        <w:t xml:space="preserve">νομισματική πολιτική στη ζώνη του ευρώ </w:t>
      </w:r>
      <w:r w:rsidRPr="00EF09C5">
        <w:rPr>
          <w:rFonts w:asciiTheme="minorHAnsi" w:hAnsiTheme="minorHAnsi"/>
          <w:i/>
          <w:iCs/>
          <w:color w:val="333333"/>
          <w:sz w:val="22"/>
          <w:szCs w:val="22"/>
        </w:rPr>
        <w:t xml:space="preserve">με </w:t>
      </w:r>
      <w:r w:rsidRPr="00B008B7">
        <w:rPr>
          <w:rFonts w:asciiTheme="minorHAnsi" w:hAnsiTheme="minorHAnsi"/>
          <w:i/>
          <w:iCs/>
          <w:color w:val="333333"/>
          <w:sz w:val="22"/>
          <w:szCs w:val="22"/>
        </w:rPr>
        <w:t>πρωταρχικό σκοπό τη διατήρηση της σταθερότητας των τιμών</w:t>
      </w:r>
      <w:r w:rsidRPr="00B008B7">
        <w:rPr>
          <w:rFonts w:asciiTheme="minorHAnsi" w:hAnsiTheme="minorHAnsi"/>
          <w:color w:val="333333"/>
          <w:sz w:val="22"/>
          <w:szCs w:val="22"/>
        </w:rPr>
        <w:t>.</w:t>
      </w:r>
      <w:r w:rsidR="00E44A9F" w:rsidRPr="00B37EA2">
        <w:rPr>
          <w:rFonts w:asciiTheme="minorHAnsi" w:hAnsiTheme="minorHAnsi"/>
          <w:color w:val="333333"/>
          <w:sz w:val="22"/>
          <w:szCs w:val="22"/>
        </w:rPr>
        <w:t xml:space="preserve"> </w:t>
      </w:r>
    </w:p>
    <w:p w14:paraId="3779AC93" w14:textId="77777777" w:rsidR="005E77C6" w:rsidRPr="00B008B7" w:rsidRDefault="005E77C6" w:rsidP="00115CF4">
      <w:pPr>
        <w:pBdr>
          <w:bottom w:val="single" w:sz="4" w:space="1" w:color="C5D4EC"/>
        </w:pBdr>
        <w:spacing w:before="160" w:after="160"/>
        <w:jc w:val="both"/>
        <w:rPr>
          <w:rFonts w:asciiTheme="minorHAnsi" w:hAnsiTheme="minorHAnsi"/>
          <w:color w:val="333333"/>
          <w:sz w:val="12"/>
          <w:szCs w:val="12"/>
        </w:rPr>
      </w:pPr>
    </w:p>
    <w:p w14:paraId="2785E54D" w14:textId="6E490F37" w:rsidR="00B90F8A" w:rsidRPr="00B37EA2" w:rsidRDefault="00B90F8A" w:rsidP="003360EF">
      <w:pPr>
        <w:spacing w:before="280" w:after="120"/>
        <w:rPr>
          <w:rFonts w:asciiTheme="minorHAnsi" w:hAnsiTheme="minorHAnsi"/>
          <w:b/>
          <w:color w:val="003087"/>
          <w:sz w:val="28"/>
        </w:rPr>
      </w:pPr>
      <w:r w:rsidRPr="00B37EA2">
        <w:rPr>
          <w:rFonts w:asciiTheme="minorHAnsi" w:hAnsiTheme="minorHAnsi"/>
          <w:b/>
          <w:color w:val="003087"/>
          <w:sz w:val="28"/>
        </w:rPr>
        <w:t xml:space="preserve">2. Τι κάνει η Τράπεζα της Ελλάδος για </w:t>
      </w:r>
      <w:r w:rsidR="003A6ACA" w:rsidRPr="00B37EA2">
        <w:rPr>
          <w:rFonts w:asciiTheme="minorHAnsi" w:hAnsiTheme="minorHAnsi"/>
          <w:b/>
          <w:color w:val="003087"/>
          <w:sz w:val="28"/>
        </w:rPr>
        <w:t>εσάς</w:t>
      </w:r>
      <w:r w:rsidRPr="00B37EA2">
        <w:rPr>
          <w:rFonts w:asciiTheme="minorHAnsi" w:hAnsiTheme="minorHAnsi"/>
          <w:b/>
          <w:color w:val="003087"/>
          <w:sz w:val="28"/>
        </w:rPr>
        <w:t>;</w:t>
      </w:r>
    </w:p>
    <w:p w14:paraId="1BA4AB9A" w14:textId="2238B6D1" w:rsidR="008D4184" w:rsidRPr="00DD6B44" w:rsidRDefault="008D4184" w:rsidP="00EA6501">
      <w:pPr>
        <w:spacing w:before="160" w:after="160"/>
        <w:jc w:val="both"/>
        <w:rPr>
          <w:rFonts w:asciiTheme="minorHAnsi" w:hAnsiTheme="minorHAnsi"/>
          <w:sz w:val="22"/>
          <w:szCs w:val="22"/>
        </w:rPr>
      </w:pPr>
      <w:r w:rsidRPr="00B37EA2">
        <w:rPr>
          <w:rFonts w:asciiTheme="minorHAnsi" w:hAnsiTheme="minorHAnsi"/>
          <w:sz w:val="22"/>
          <w:szCs w:val="22"/>
        </w:rPr>
        <w:t xml:space="preserve">Στις επόμενες ενότητες θα δούμε, πώς οι αρμοδιότητες της Τράπεζας της Ελλάδος συνδέονται με τις καθημερινές ανάγκες </w:t>
      </w:r>
      <w:r w:rsidR="00F34C58">
        <w:rPr>
          <w:rFonts w:asciiTheme="minorHAnsi" w:hAnsiTheme="minorHAnsi"/>
          <w:sz w:val="22"/>
          <w:szCs w:val="22"/>
        </w:rPr>
        <w:t xml:space="preserve">και βασικές προτεραιότητες </w:t>
      </w:r>
      <w:r w:rsidRPr="00B37EA2">
        <w:rPr>
          <w:rFonts w:asciiTheme="minorHAnsi" w:hAnsiTheme="minorHAnsi"/>
          <w:sz w:val="22"/>
          <w:szCs w:val="22"/>
        </w:rPr>
        <w:t>των πολιτών</w:t>
      </w:r>
      <w:r w:rsidR="00F34C58">
        <w:rPr>
          <w:rFonts w:asciiTheme="minorHAnsi" w:hAnsiTheme="minorHAnsi"/>
          <w:sz w:val="22"/>
          <w:szCs w:val="22"/>
        </w:rPr>
        <w:t>,</w:t>
      </w:r>
      <w:r w:rsidRPr="00B37EA2">
        <w:rPr>
          <w:rFonts w:asciiTheme="minorHAnsi" w:hAnsiTheme="minorHAnsi"/>
          <w:sz w:val="22"/>
          <w:szCs w:val="22"/>
        </w:rPr>
        <w:t xml:space="preserve"> και </w:t>
      </w:r>
      <w:r w:rsidR="00F34C58">
        <w:rPr>
          <w:rFonts w:asciiTheme="minorHAnsi" w:hAnsiTheme="minorHAnsi"/>
          <w:sz w:val="22"/>
          <w:szCs w:val="22"/>
        </w:rPr>
        <w:t xml:space="preserve">πώς </w:t>
      </w:r>
      <w:r w:rsidRPr="00B37EA2">
        <w:rPr>
          <w:rFonts w:asciiTheme="minorHAnsi" w:hAnsiTheme="minorHAnsi"/>
          <w:sz w:val="22"/>
          <w:szCs w:val="22"/>
        </w:rPr>
        <w:t>συμβάλλουν στην ομαλή λειτουργία της οικονομίας</w:t>
      </w:r>
      <w:r w:rsidR="00D90CB3" w:rsidRPr="00B37EA2">
        <w:rPr>
          <w:rFonts w:asciiTheme="minorHAnsi" w:hAnsiTheme="minorHAnsi"/>
          <w:sz w:val="22"/>
          <w:szCs w:val="22"/>
        </w:rPr>
        <w:t>.</w:t>
      </w:r>
      <w:r w:rsidR="006C0E62" w:rsidRPr="00B37EA2" w:rsidDel="006C0E62">
        <w:rPr>
          <w:rFonts w:asciiTheme="minorHAnsi" w:hAnsiTheme="minorHAnsi"/>
          <w:sz w:val="22"/>
          <w:szCs w:val="22"/>
        </w:rPr>
        <w:t xml:space="preserve"> </w:t>
      </w:r>
    </w:p>
    <w:p w14:paraId="04DC07BF" w14:textId="67283127" w:rsidR="00135DAA" w:rsidRPr="00135DAA" w:rsidRDefault="00135DAA" w:rsidP="00135DAA">
      <w:pPr>
        <w:spacing w:before="160" w:after="160"/>
        <w:jc w:val="center"/>
        <w:rPr>
          <w:rFonts w:asciiTheme="minorHAnsi" w:hAnsiTheme="minorHAnsi"/>
          <w:sz w:val="22"/>
          <w:szCs w:val="22"/>
          <w:lang w:val="en-US"/>
        </w:rPr>
      </w:pPr>
      <w:r>
        <w:rPr>
          <w:noProof/>
        </w:rPr>
        <w:drawing>
          <wp:inline distT="0" distB="0" distL="0" distR="0" wp14:anchorId="0BF28E4C" wp14:editId="351270A4">
            <wp:extent cx="3088722" cy="1647361"/>
            <wp:effectExtent l="0" t="0" r="0" b="0"/>
            <wp:docPr id="1258012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12972" name=""/>
                    <pic:cNvPicPr/>
                  </pic:nvPicPr>
                  <pic:blipFill>
                    <a:blip r:embed="rId10"/>
                    <a:stretch>
                      <a:fillRect/>
                    </a:stretch>
                  </pic:blipFill>
                  <pic:spPr>
                    <a:xfrm>
                      <a:off x="0" y="0"/>
                      <a:ext cx="3114723" cy="1661228"/>
                    </a:xfrm>
                    <a:prstGeom prst="rect">
                      <a:avLst/>
                    </a:prstGeom>
                  </pic:spPr>
                </pic:pic>
              </a:graphicData>
            </a:graphic>
          </wp:inline>
        </w:drawing>
      </w:r>
    </w:p>
    <w:p w14:paraId="574FEB5E" w14:textId="7AAC086B" w:rsidR="009D3569" w:rsidRPr="006C1930" w:rsidRDefault="009D3569" w:rsidP="00EA6501">
      <w:pPr>
        <w:spacing w:before="160" w:after="160"/>
        <w:rPr>
          <w:rStyle w:val="IntenseEmphasis"/>
          <w:rFonts w:asciiTheme="minorHAnsi" w:hAnsiTheme="minorHAnsi"/>
          <w:sz w:val="22"/>
          <w:szCs w:val="22"/>
        </w:rPr>
      </w:pPr>
      <w:r w:rsidRPr="006C1930">
        <w:rPr>
          <w:rStyle w:val="IntenseEmphasis"/>
          <w:rFonts w:ascii="Segoe UI Emoji" w:hAnsi="Segoe UI Emoji" w:cs="Segoe UI Emoji"/>
          <w:sz w:val="22"/>
          <w:szCs w:val="22"/>
        </w:rPr>
        <w:lastRenderedPageBreak/>
        <w:t>💶</w:t>
      </w:r>
      <w:r w:rsidRPr="006C1930">
        <w:rPr>
          <w:rStyle w:val="IntenseEmphasis"/>
          <w:rFonts w:asciiTheme="minorHAnsi" w:hAnsiTheme="minorHAnsi"/>
          <w:sz w:val="22"/>
          <w:szCs w:val="22"/>
        </w:rPr>
        <w:t xml:space="preserve"> Θέλω τα χρήματά μου να διατηρούν την αξία τους</w:t>
      </w:r>
    </w:p>
    <w:p w14:paraId="4A78C307" w14:textId="77777777" w:rsidR="0019797F" w:rsidRDefault="006C0E62" w:rsidP="00EA6501">
      <w:pPr>
        <w:spacing w:before="160" w:after="160"/>
        <w:jc w:val="both"/>
        <w:rPr>
          <w:rFonts w:asciiTheme="minorHAnsi" w:hAnsiTheme="minorHAnsi"/>
          <w:sz w:val="22"/>
        </w:rPr>
      </w:pPr>
      <w:r w:rsidRPr="002B5ECA">
        <w:rPr>
          <w:rFonts w:asciiTheme="minorHAnsi" w:hAnsiTheme="minorHAnsi"/>
          <w:sz w:val="22"/>
        </w:rPr>
        <w:t xml:space="preserve">Η </w:t>
      </w:r>
      <w:r w:rsidR="00D23B80" w:rsidRPr="002B5ECA">
        <w:rPr>
          <w:rFonts w:asciiTheme="minorHAnsi" w:hAnsiTheme="minorHAnsi"/>
          <w:sz w:val="22"/>
        </w:rPr>
        <w:t xml:space="preserve">Τράπεζα της Ελλάδος </w:t>
      </w:r>
      <w:r w:rsidRPr="002B5ECA">
        <w:rPr>
          <w:rFonts w:asciiTheme="minorHAnsi" w:hAnsiTheme="minorHAnsi"/>
          <w:sz w:val="22"/>
        </w:rPr>
        <w:t>εργάζεται</w:t>
      </w:r>
      <w:r w:rsidR="00D23B80" w:rsidRPr="002B5ECA">
        <w:rPr>
          <w:rFonts w:asciiTheme="minorHAnsi" w:hAnsiTheme="minorHAnsi"/>
          <w:sz w:val="22"/>
        </w:rPr>
        <w:t xml:space="preserve"> ώστε οι τιμές των αγαθών και υπηρεσιών να παραμένουν σχετικά σταθερές με την πάροδο του χρόνου και οι πολίτες να μπορούν να βασίζονται σε ένα ισχυρό και σταθερό νόμισμα. </w:t>
      </w:r>
      <w:r w:rsidR="005E77C6">
        <w:rPr>
          <w:rFonts w:asciiTheme="minorHAnsi" w:hAnsiTheme="minorHAnsi"/>
          <w:sz w:val="22"/>
        </w:rPr>
        <w:t>Ω</w:t>
      </w:r>
      <w:r w:rsidR="005E77C6" w:rsidRPr="002B5ECA">
        <w:rPr>
          <w:rFonts w:asciiTheme="minorHAnsi" w:hAnsiTheme="minorHAnsi"/>
          <w:sz w:val="22"/>
        </w:rPr>
        <w:t>ς μέλος του Ευρωσυστήματος, συμβάλλει στη</w:t>
      </w:r>
      <w:r w:rsidR="00A12BC9">
        <w:rPr>
          <w:rFonts w:asciiTheme="minorHAnsi" w:hAnsiTheme="minorHAnsi"/>
          <w:sz w:val="22"/>
        </w:rPr>
        <w:t xml:space="preserve"> </w:t>
      </w:r>
      <w:r w:rsidR="0022785E">
        <w:rPr>
          <w:rFonts w:asciiTheme="minorHAnsi" w:hAnsiTheme="minorHAnsi"/>
          <w:sz w:val="22"/>
        </w:rPr>
        <w:t>διασφάλιση της σταθερότητας των τιμών</w:t>
      </w:r>
      <w:r w:rsidR="005E77C6" w:rsidRPr="002B5ECA">
        <w:rPr>
          <w:rFonts w:asciiTheme="minorHAnsi" w:hAnsiTheme="minorHAnsi"/>
          <w:sz w:val="22"/>
        </w:rPr>
        <w:t xml:space="preserve"> για το σύνολο της ζώνης του ευρώ</w:t>
      </w:r>
      <w:r w:rsidR="005E77C6">
        <w:rPr>
          <w:rFonts w:asciiTheme="minorHAnsi" w:hAnsiTheme="minorHAnsi"/>
          <w:sz w:val="22"/>
        </w:rPr>
        <w:t>.</w:t>
      </w:r>
    </w:p>
    <w:p w14:paraId="0FA8047C" w14:textId="530F4243" w:rsidR="008D2028" w:rsidRPr="002B5ECA" w:rsidRDefault="00753900" w:rsidP="00EA6501">
      <w:pPr>
        <w:spacing w:before="160" w:after="160"/>
        <w:jc w:val="both"/>
        <w:rPr>
          <w:rFonts w:asciiTheme="minorHAnsi" w:hAnsiTheme="minorHAnsi"/>
          <w:sz w:val="22"/>
        </w:rPr>
      </w:pPr>
      <w:r w:rsidRPr="002B5ECA">
        <w:rPr>
          <w:rFonts w:asciiTheme="minorHAnsi" w:hAnsiTheme="minorHAnsi"/>
          <w:sz w:val="22"/>
        </w:rPr>
        <w:t xml:space="preserve">Όταν οι τιμές </w:t>
      </w:r>
      <w:r w:rsidR="00226785">
        <w:rPr>
          <w:rFonts w:asciiTheme="minorHAnsi" w:hAnsiTheme="minorHAnsi"/>
          <w:sz w:val="22"/>
        </w:rPr>
        <w:t>μεταβάλλονται</w:t>
      </w:r>
      <w:r w:rsidR="00226785" w:rsidRPr="002B5ECA">
        <w:rPr>
          <w:rFonts w:asciiTheme="minorHAnsi" w:hAnsiTheme="minorHAnsi"/>
          <w:sz w:val="22"/>
        </w:rPr>
        <w:t xml:space="preserve"> </w:t>
      </w:r>
      <w:r w:rsidRPr="002B5ECA">
        <w:rPr>
          <w:rFonts w:asciiTheme="minorHAnsi" w:hAnsiTheme="minorHAnsi"/>
          <w:sz w:val="22"/>
        </w:rPr>
        <w:t xml:space="preserve">με χαμηλό και προβλέψιμο ρυθμό, μπορείτε να αγοράσετε περίπου τα ίδια προϊόντα και υπηρεσίες όπως παλιότερα. Αυτό σημαίνει ότι η αγοραστική δύναμη </w:t>
      </w:r>
      <w:r w:rsidR="00C41859" w:rsidRPr="002B5ECA">
        <w:rPr>
          <w:rFonts w:asciiTheme="minorHAnsi" w:hAnsiTheme="minorHAnsi"/>
          <w:sz w:val="22"/>
        </w:rPr>
        <w:t>του χρήματος</w:t>
      </w:r>
      <w:r w:rsidRPr="002B5ECA">
        <w:rPr>
          <w:rFonts w:asciiTheme="minorHAnsi" w:hAnsiTheme="minorHAnsi"/>
          <w:sz w:val="22"/>
        </w:rPr>
        <w:t xml:space="preserve"> παραμένει σταθερή. </w:t>
      </w:r>
    </w:p>
    <w:p w14:paraId="4C7F38C5" w14:textId="77777777" w:rsidR="009D3569" w:rsidRPr="006C1930" w:rsidRDefault="009D3569" w:rsidP="00EA6501">
      <w:pPr>
        <w:spacing w:before="160" w:after="160"/>
        <w:rPr>
          <w:rStyle w:val="IntenseEmphasis"/>
          <w:rFonts w:asciiTheme="minorHAnsi" w:hAnsiTheme="minorHAnsi"/>
          <w:sz w:val="22"/>
          <w:szCs w:val="22"/>
        </w:rPr>
      </w:pPr>
      <w:r w:rsidRPr="006C1930">
        <w:rPr>
          <w:rStyle w:val="IntenseEmphasis"/>
          <w:rFonts w:ascii="Segoe UI Emoji" w:hAnsi="Segoe UI Emoji" w:cs="Segoe UI Emoji"/>
          <w:sz w:val="22"/>
          <w:szCs w:val="22"/>
        </w:rPr>
        <w:t>🏦</w:t>
      </w:r>
      <w:r w:rsidRPr="006C1930">
        <w:rPr>
          <w:rStyle w:val="IntenseEmphasis"/>
          <w:rFonts w:asciiTheme="minorHAnsi" w:hAnsiTheme="minorHAnsi"/>
          <w:sz w:val="22"/>
          <w:szCs w:val="22"/>
        </w:rPr>
        <w:t xml:space="preserve"> Θέλω να νιώθω ασφάλεια για τις καταθέσεις μου</w:t>
      </w:r>
    </w:p>
    <w:p w14:paraId="2D3B1C07" w14:textId="31556CC5" w:rsidR="00556AE0" w:rsidRPr="002B5ECA" w:rsidRDefault="006C0E62" w:rsidP="00EA6501">
      <w:pPr>
        <w:spacing w:before="160" w:after="160"/>
        <w:jc w:val="both"/>
        <w:rPr>
          <w:rFonts w:asciiTheme="minorHAnsi" w:hAnsiTheme="minorHAnsi"/>
          <w:sz w:val="22"/>
        </w:rPr>
      </w:pPr>
      <w:r w:rsidRPr="002B5ECA">
        <w:rPr>
          <w:rFonts w:asciiTheme="minorHAnsi" w:hAnsiTheme="minorHAnsi"/>
          <w:sz w:val="22"/>
        </w:rPr>
        <w:t xml:space="preserve">Η </w:t>
      </w:r>
      <w:r w:rsidR="00374432" w:rsidRPr="002B5ECA">
        <w:rPr>
          <w:rFonts w:asciiTheme="minorHAnsi" w:hAnsiTheme="minorHAnsi"/>
          <w:sz w:val="22"/>
        </w:rPr>
        <w:t>Τράπεζα της Ελλάδος εποπτε</w:t>
      </w:r>
      <w:r w:rsidRPr="002B5ECA">
        <w:rPr>
          <w:rFonts w:asciiTheme="minorHAnsi" w:hAnsiTheme="minorHAnsi"/>
          <w:sz w:val="22"/>
        </w:rPr>
        <w:t>ύει</w:t>
      </w:r>
      <w:r w:rsidR="00374432" w:rsidRPr="002B5ECA">
        <w:rPr>
          <w:rFonts w:asciiTheme="minorHAnsi" w:hAnsiTheme="minorHAnsi"/>
          <w:sz w:val="22"/>
        </w:rPr>
        <w:t xml:space="preserve"> </w:t>
      </w:r>
      <w:r w:rsidR="007F23A7" w:rsidRPr="002B5ECA">
        <w:rPr>
          <w:rFonts w:asciiTheme="minorHAnsi" w:hAnsiTheme="minorHAnsi"/>
          <w:sz w:val="22"/>
        </w:rPr>
        <w:t xml:space="preserve">τις εμπορικές </w:t>
      </w:r>
      <w:r w:rsidR="00374432" w:rsidRPr="002B5ECA">
        <w:rPr>
          <w:rFonts w:asciiTheme="minorHAnsi" w:hAnsiTheme="minorHAnsi"/>
          <w:sz w:val="22"/>
        </w:rPr>
        <w:t xml:space="preserve">τράπεζες και άλλους χρηματοπιστωτικούς φορείς, ώστε </w:t>
      </w:r>
      <w:r w:rsidR="00556AE0" w:rsidRPr="002B5ECA">
        <w:rPr>
          <w:rFonts w:asciiTheme="minorHAnsi" w:hAnsiTheme="minorHAnsi"/>
          <w:sz w:val="22"/>
        </w:rPr>
        <w:t>να λειτουργούν με ασφάλεια και αξιοπιστία</w:t>
      </w:r>
      <w:r w:rsidR="00374432" w:rsidRPr="002B5ECA">
        <w:rPr>
          <w:rFonts w:asciiTheme="minorHAnsi" w:hAnsiTheme="minorHAnsi"/>
          <w:sz w:val="22"/>
        </w:rPr>
        <w:t>. Η</w:t>
      </w:r>
      <w:r w:rsidR="00556AE0" w:rsidRPr="002B5ECA">
        <w:rPr>
          <w:rFonts w:asciiTheme="minorHAnsi" w:hAnsiTheme="minorHAnsi"/>
          <w:sz w:val="22"/>
        </w:rPr>
        <w:t xml:space="preserve"> συνεπής και αποτελεσματική εποπτεία</w:t>
      </w:r>
      <w:r w:rsidR="00374432" w:rsidRPr="002B5ECA">
        <w:rPr>
          <w:rFonts w:asciiTheme="minorHAnsi" w:hAnsiTheme="minorHAnsi"/>
          <w:sz w:val="22"/>
        </w:rPr>
        <w:t xml:space="preserve"> είναι απαραίτητη ώστε</w:t>
      </w:r>
      <w:r w:rsidR="00556AE0" w:rsidRPr="002B5ECA">
        <w:rPr>
          <w:rFonts w:asciiTheme="minorHAnsi" w:hAnsiTheme="minorHAnsi"/>
          <w:sz w:val="22"/>
        </w:rPr>
        <w:t xml:space="preserve"> </w:t>
      </w:r>
      <w:r w:rsidR="0076407F" w:rsidRPr="002B5ECA">
        <w:rPr>
          <w:rFonts w:asciiTheme="minorHAnsi" w:hAnsiTheme="minorHAnsi"/>
          <w:sz w:val="22"/>
        </w:rPr>
        <w:t xml:space="preserve">οι τράπεζες </w:t>
      </w:r>
      <w:r w:rsidR="00374432" w:rsidRPr="002B5ECA">
        <w:rPr>
          <w:rFonts w:asciiTheme="minorHAnsi" w:hAnsiTheme="minorHAnsi"/>
          <w:sz w:val="22"/>
        </w:rPr>
        <w:t xml:space="preserve">να </w:t>
      </w:r>
      <w:r w:rsidR="00556AE0" w:rsidRPr="002B5ECA">
        <w:rPr>
          <w:rFonts w:asciiTheme="minorHAnsi" w:hAnsiTheme="minorHAnsi"/>
          <w:sz w:val="22"/>
        </w:rPr>
        <w:t>μπορούν να εκπληρώνουν τον ζωτικό τους ρόλο: να προστατεύουν τις αποταμιεύσεις σας και να χορηγούν δάνεια σε νοικοκυριά και επιχειρήσεις.</w:t>
      </w:r>
    </w:p>
    <w:p w14:paraId="0AA0486F" w14:textId="788C4586" w:rsidR="00556AE0" w:rsidRPr="002B5ECA" w:rsidRDefault="00374432" w:rsidP="00EA6501">
      <w:pPr>
        <w:spacing w:before="160" w:after="160"/>
        <w:jc w:val="both"/>
        <w:rPr>
          <w:rFonts w:asciiTheme="minorHAnsi" w:hAnsiTheme="minorHAnsi"/>
          <w:sz w:val="22"/>
        </w:rPr>
      </w:pPr>
      <w:r w:rsidRPr="002B5ECA">
        <w:rPr>
          <w:rFonts w:asciiTheme="minorHAnsi" w:hAnsiTheme="minorHAnsi"/>
          <w:sz w:val="22"/>
        </w:rPr>
        <w:t xml:space="preserve">Συγκεκριμένα, </w:t>
      </w:r>
      <w:r w:rsidR="006C0E62" w:rsidRPr="002B5ECA">
        <w:rPr>
          <w:rFonts w:asciiTheme="minorHAnsi" w:hAnsiTheme="minorHAnsi"/>
          <w:sz w:val="22"/>
        </w:rPr>
        <w:t xml:space="preserve">η Τράπεζα ελέγχει </w:t>
      </w:r>
      <w:r w:rsidRPr="002B5ECA">
        <w:rPr>
          <w:rFonts w:asciiTheme="minorHAnsi" w:hAnsiTheme="minorHAnsi"/>
          <w:sz w:val="22"/>
        </w:rPr>
        <w:t xml:space="preserve">αν οι </w:t>
      </w:r>
      <w:r w:rsidR="006C0E62" w:rsidRPr="002B5ECA">
        <w:rPr>
          <w:rFonts w:asciiTheme="minorHAnsi" w:hAnsiTheme="minorHAnsi"/>
          <w:sz w:val="22"/>
        </w:rPr>
        <w:t xml:space="preserve">εμπορικές </w:t>
      </w:r>
      <w:r w:rsidRPr="002B5ECA">
        <w:rPr>
          <w:rFonts w:asciiTheme="minorHAnsi" w:hAnsiTheme="minorHAnsi"/>
          <w:sz w:val="22"/>
        </w:rPr>
        <w:t>τράπεζες</w:t>
      </w:r>
      <w:r w:rsidR="00556AE0" w:rsidRPr="002B5ECA">
        <w:rPr>
          <w:rFonts w:asciiTheme="minorHAnsi" w:hAnsiTheme="minorHAnsi"/>
          <w:sz w:val="22"/>
        </w:rPr>
        <w:t xml:space="preserve"> διαθέτουν επαρκή κεφάλαια</w:t>
      </w:r>
      <w:r w:rsidR="006E3300" w:rsidRPr="002B5ECA">
        <w:rPr>
          <w:rFonts w:asciiTheme="minorHAnsi" w:hAnsiTheme="minorHAnsi"/>
          <w:sz w:val="22"/>
        </w:rPr>
        <w:t xml:space="preserve"> για να στηρίζουν τη δραστηριότητά τους</w:t>
      </w:r>
      <w:r w:rsidR="00556AE0" w:rsidRPr="002B5ECA">
        <w:rPr>
          <w:rFonts w:asciiTheme="minorHAnsi" w:hAnsiTheme="minorHAnsi"/>
          <w:sz w:val="22"/>
        </w:rPr>
        <w:t xml:space="preserve"> και </w:t>
      </w:r>
      <w:r w:rsidR="006E3300" w:rsidRPr="002B5ECA">
        <w:rPr>
          <w:rFonts w:asciiTheme="minorHAnsi" w:hAnsiTheme="minorHAnsi"/>
          <w:sz w:val="22"/>
        </w:rPr>
        <w:t xml:space="preserve">αρκετή </w:t>
      </w:r>
      <w:r w:rsidR="00556AE0" w:rsidRPr="002B5ECA">
        <w:rPr>
          <w:rFonts w:asciiTheme="minorHAnsi" w:hAnsiTheme="minorHAnsi"/>
          <w:sz w:val="22"/>
        </w:rPr>
        <w:t xml:space="preserve">ρευστότητα για να </w:t>
      </w:r>
      <w:r w:rsidR="00527FBC" w:rsidRPr="002B5ECA">
        <w:rPr>
          <w:rFonts w:asciiTheme="minorHAnsi" w:hAnsiTheme="minorHAnsi"/>
          <w:sz w:val="22"/>
        </w:rPr>
        <w:t xml:space="preserve">χρηματοδοτούν </w:t>
      </w:r>
      <w:r w:rsidR="00556AE0" w:rsidRPr="002B5ECA">
        <w:rPr>
          <w:rFonts w:asciiTheme="minorHAnsi" w:hAnsiTheme="minorHAnsi"/>
          <w:sz w:val="22"/>
        </w:rPr>
        <w:t xml:space="preserve">την οικονομία. </w:t>
      </w:r>
      <w:r w:rsidR="00A11444">
        <w:rPr>
          <w:rFonts w:asciiTheme="minorHAnsi" w:hAnsiTheme="minorHAnsi"/>
          <w:sz w:val="22"/>
        </w:rPr>
        <w:t>Έτσι</w:t>
      </w:r>
      <w:r w:rsidR="00556AE0" w:rsidRPr="002B5ECA">
        <w:rPr>
          <w:rFonts w:asciiTheme="minorHAnsi" w:hAnsiTheme="minorHAnsi"/>
          <w:sz w:val="22"/>
        </w:rPr>
        <w:t xml:space="preserve">, </w:t>
      </w:r>
      <w:r w:rsidR="006C0E62" w:rsidRPr="002B5ECA">
        <w:rPr>
          <w:rFonts w:asciiTheme="minorHAnsi" w:hAnsiTheme="minorHAnsi"/>
          <w:sz w:val="22"/>
        </w:rPr>
        <w:t xml:space="preserve">εντοπίζονται </w:t>
      </w:r>
      <w:r w:rsidR="00556AE0" w:rsidRPr="002B5ECA">
        <w:rPr>
          <w:rFonts w:asciiTheme="minorHAnsi" w:hAnsiTheme="minorHAnsi"/>
          <w:sz w:val="22"/>
        </w:rPr>
        <w:t xml:space="preserve">έγκαιρα πιθανές αδυναμίες και λαμβάνονται </w:t>
      </w:r>
      <w:r w:rsidR="00A11444">
        <w:rPr>
          <w:rFonts w:asciiTheme="minorHAnsi" w:hAnsiTheme="minorHAnsi"/>
          <w:sz w:val="22"/>
        </w:rPr>
        <w:t xml:space="preserve">τα απαραίτητα </w:t>
      </w:r>
      <w:r w:rsidR="00556AE0" w:rsidRPr="002B5ECA">
        <w:rPr>
          <w:rFonts w:asciiTheme="minorHAnsi" w:hAnsiTheme="minorHAnsi"/>
          <w:sz w:val="22"/>
        </w:rPr>
        <w:t>διορθωτικά μέτρα ώστε οι τράπεζες να παραμένουν ασφαλεί</w:t>
      </w:r>
      <w:r w:rsidR="006E3300" w:rsidRPr="002B5ECA">
        <w:rPr>
          <w:rFonts w:asciiTheme="minorHAnsi" w:hAnsiTheme="minorHAnsi"/>
          <w:sz w:val="22"/>
        </w:rPr>
        <w:t xml:space="preserve">ς </w:t>
      </w:r>
      <w:r w:rsidR="00556AE0" w:rsidRPr="002B5ECA">
        <w:rPr>
          <w:rFonts w:asciiTheme="minorHAnsi" w:hAnsiTheme="minorHAnsi"/>
          <w:sz w:val="22"/>
        </w:rPr>
        <w:t>και εύρωστες.</w:t>
      </w:r>
    </w:p>
    <w:p w14:paraId="4E98D048" w14:textId="080812D9" w:rsidR="00FE3B3F" w:rsidRPr="002B5ECA" w:rsidRDefault="00FE3B3F" w:rsidP="00EA6501">
      <w:pPr>
        <w:spacing w:before="160" w:after="160"/>
        <w:jc w:val="both"/>
        <w:rPr>
          <w:rFonts w:asciiTheme="minorHAnsi" w:hAnsiTheme="minorHAnsi"/>
          <w:sz w:val="22"/>
        </w:rPr>
      </w:pPr>
      <w:r w:rsidRPr="002B5ECA">
        <w:rPr>
          <w:rFonts w:asciiTheme="minorHAnsi" w:hAnsiTheme="minorHAnsi"/>
          <w:sz w:val="22"/>
        </w:rPr>
        <w:t xml:space="preserve">Για την εποπτεία των σημαντικών </w:t>
      </w:r>
      <w:r w:rsidR="005E77C6">
        <w:rPr>
          <w:rFonts w:asciiTheme="minorHAnsi" w:hAnsiTheme="minorHAnsi"/>
          <w:sz w:val="22"/>
        </w:rPr>
        <w:t xml:space="preserve">και μεγάλων </w:t>
      </w:r>
      <w:r w:rsidRPr="002B5ECA">
        <w:rPr>
          <w:rFonts w:asciiTheme="minorHAnsi" w:hAnsiTheme="minorHAnsi"/>
          <w:sz w:val="22"/>
        </w:rPr>
        <w:t xml:space="preserve">τραπεζών στην Ελλάδα, </w:t>
      </w:r>
      <w:r w:rsidR="006C0E62" w:rsidRPr="002B5ECA">
        <w:rPr>
          <w:rFonts w:asciiTheme="minorHAnsi" w:hAnsiTheme="minorHAnsi"/>
          <w:sz w:val="22"/>
        </w:rPr>
        <w:t xml:space="preserve">η </w:t>
      </w:r>
      <w:r w:rsidR="00AC7515">
        <w:rPr>
          <w:rFonts w:asciiTheme="minorHAnsi" w:hAnsiTheme="minorHAnsi"/>
          <w:sz w:val="22"/>
          <w:szCs w:val="22"/>
        </w:rPr>
        <w:t xml:space="preserve">Τράπεζα </w:t>
      </w:r>
      <w:r w:rsidR="006C0E62" w:rsidRPr="002B5ECA">
        <w:rPr>
          <w:rFonts w:asciiTheme="minorHAnsi" w:hAnsiTheme="minorHAnsi"/>
          <w:sz w:val="22"/>
        </w:rPr>
        <w:t xml:space="preserve">συνεργάζεται </w:t>
      </w:r>
      <w:r w:rsidRPr="002B5ECA">
        <w:rPr>
          <w:rFonts w:asciiTheme="minorHAnsi" w:hAnsiTheme="minorHAnsi"/>
          <w:sz w:val="22"/>
        </w:rPr>
        <w:t>στενά με την Ευρωπαϊκή Κεντρική Τράπεζα στο πλαίσιο του Ενιαίου Εποπτικού Μηχανισμού.</w:t>
      </w:r>
    </w:p>
    <w:p w14:paraId="03574755" w14:textId="29548FE6" w:rsidR="00527FBC" w:rsidRPr="002B5ECA" w:rsidRDefault="005E77C6" w:rsidP="00EA6501">
      <w:pPr>
        <w:spacing w:before="160" w:after="160"/>
        <w:jc w:val="both"/>
        <w:rPr>
          <w:rFonts w:asciiTheme="minorHAnsi" w:hAnsiTheme="minorHAnsi"/>
          <w:sz w:val="22"/>
        </w:rPr>
      </w:pPr>
      <w:r>
        <w:rPr>
          <w:rFonts w:asciiTheme="minorHAnsi" w:hAnsiTheme="minorHAnsi"/>
          <w:sz w:val="22"/>
        </w:rPr>
        <w:t>Επιπλέον</w:t>
      </w:r>
      <w:r w:rsidR="00830BC8" w:rsidRPr="002B5ECA">
        <w:rPr>
          <w:rFonts w:asciiTheme="minorHAnsi" w:hAnsiTheme="minorHAnsi"/>
          <w:sz w:val="22"/>
        </w:rPr>
        <w:t>, γ</w:t>
      </w:r>
      <w:r w:rsidR="00527FBC" w:rsidRPr="002B5ECA">
        <w:rPr>
          <w:rFonts w:asciiTheme="minorHAnsi" w:hAnsiTheme="minorHAnsi"/>
          <w:sz w:val="22"/>
        </w:rPr>
        <w:t>ια να μπορ</w:t>
      </w:r>
      <w:r w:rsidR="00512841">
        <w:rPr>
          <w:rFonts w:asciiTheme="minorHAnsi" w:hAnsiTheme="minorHAnsi"/>
          <w:sz w:val="22"/>
        </w:rPr>
        <w:t>είτε</w:t>
      </w:r>
      <w:r w:rsidR="00527FBC" w:rsidRPr="002B5ECA">
        <w:rPr>
          <w:rFonts w:asciiTheme="minorHAnsi" w:hAnsiTheme="minorHAnsi"/>
          <w:sz w:val="22"/>
        </w:rPr>
        <w:t xml:space="preserve"> να συναλλάσσ</w:t>
      </w:r>
      <w:r w:rsidR="00512841">
        <w:rPr>
          <w:rFonts w:asciiTheme="minorHAnsi" w:hAnsiTheme="minorHAnsi"/>
          <w:sz w:val="22"/>
        </w:rPr>
        <w:t>εστε</w:t>
      </w:r>
      <w:r w:rsidR="00527FBC" w:rsidRPr="002B5ECA">
        <w:rPr>
          <w:rFonts w:asciiTheme="minorHAnsi" w:hAnsiTheme="minorHAnsi"/>
          <w:sz w:val="22"/>
        </w:rPr>
        <w:t>, να αποταμιεύ</w:t>
      </w:r>
      <w:r w:rsidR="00512841">
        <w:rPr>
          <w:rFonts w:asciiTheme="minorHAnsi" w:hAnsiTheme="minorHAnsi"/>
          <w:sz w:val="22"/>
        </w:rPr>
        <w:t>ετε</w:t>
      </w:r>
      <w:r w:rsidR="00527FBC" w:rsidRPr="002B5ECA">
        <w:rPr>
          <w:rFonts w:asciiTheme="minorHAnsi" w:hAnsiTheme="minorHAnsi"/>
          <w:sz w:val="22"/>
        </w:rPr>
        <w:t>, να δανείζ</w:t>
      </w:r>
      <w:r w:rsidR="00512841">
        <w:rPr>
          <w:rFonts w:asciiTheme="minorHAnsi" w:hAnsiTheme="minorHAnsi"/>
          <w:sz w:val="22"/>
        </w:rPr>
        <w:t>εστε</w:t>
      </w:r>
      <w:r w:rsidR="00527FBC" w:rsidRPr="002B5ECA">
        <w:rPr>
          <w:rFonts w:asciiTheme="minorHAnsi" w:hAnsiTheme="minorHAnsi"/>
          <w:sz w:val="22"/>
        </w:rPr>
        <w:t xml:space="preserve"> και να επενδύ</w:t>
      </w:r>
      <w:r w:rsidR="00512841">
        <w:rPr>
          <w:rFonts w:asciiTheme="minorHAnsi" w:hAnsiTheme="minorHAnsi"/>
          <w:sz w:val="22"/>
        </w:rPr>
        <w:t>ετε</w:t>
      </w:r>
      <w:r w:rsidR="00527FBC" w:rsidRPr="002B5ECA">
        <w:rPr>
          <w:rFonts w:asciiTheme="minorHAnsi" w:hAnsiTheme="minorHAnsi"/>
          <w:sz w:val="22"/>
        </w:rPr>
        <w:t xml:space="preserve"> με εμπιστοσύνη, </w:t>
      </w:r>
      <w:r w:rsidR="00D05317" w:rsidRPr="002B5ECA">
        <w:rPr>
          <w:rFonts w:asciiTheme="minorHAnsi" w:hAnsiTheme="minorHAnsi"/>
          <w:sz w:val="22"/>
        </w:rPr>
        <w:t xml:space="preserve">χρειάζεται το χρηματοπιστωτικό σύστημα να </w:t>
      </w:r>
      <w:r>
        <w:rPr>
          <w:rFonts w:asciiTheme="minorHAnsi" w:hAnsiTheme="minorHAnsi"/>
          <w:sz w:val="22"/>
        </w:rPr>
        <w:t>παραμένει</w:t>
      </w:r>
      <w:r w:rsidRPr="002B5ECA">
        <w:rPr>
          <w:rFonts w:asciiTheme="minorHAnsi" w:hAnsiTheme="minorHAnsi"/>
          <w:sz w:val="22"/>
        </w:rPr>
        <w:t xml:space="preserve"> </w:t>
      </w:r>
      <w:r w:rsidR="00D05317" w:rsidRPr="002B5ECA">
        <w:rPr>
          <w:rFonts w:asciiTheme="minorHAnsi" w:hAnsiTheme="minorHAnsi"/>
          <w:sz w:val="22"/>
        </w:rPr>
        <w:t>σταθερό και ανθεκτικό, ακόμη και σε περιόδους αβεβαιότητας.</w:t>
      </w:r>
    </w:p>
    <w:p w14:paraId="2FC47503" w14:textId="3893906A" w:rsidR="00FE3B3F" w:rsidRPr="002B5ECA" w:rsidRDefault="00830BC8" w:rsidP="00EA6501">
      <w:pPr>
        <w:spacing w:before="160" w:after="160"/>
        <w:jc w:val="both"/>
        <w:rPr>
          <w:rFonts w:asciiTheme="minorHAnsi" w:hAnsiTheme="minorHAnsi"/>
          <w:sz w:val="22"/>
        </w:rPr>
      </w:pPr>
      <w:r w:rsidRPr="002B5ECA">
        <w:rPr>
          <w:rFonts w:asciiTheme="minorHAnsi" w:hAnsiTheme="minorHAnsi"/>
          <w:sz w:val="22"/>
        </w:rPr>
        <w:t xml:space="preserve">Η </w:t>
      </w:r>
      <w:r w:rsidR="00FE3B3F" w:rsidRPr="002B5ECA">
        <w:rPr>
          <w:rFonts w:asciiTheme="minorHAnsi" w:hAnsiTheme="minorHAnsi"/>
          <w:sz w:val="22"/>
        </w:rPr>
        <w:t xml:space="preserve">Τράπεζα της Ελλάδος </w:t>
      </w:r>
      <w:r w:rsidRPr="002B5ECA">
        <w:rPr>
          <w:rFonts w:asciiTheme="minorHAnsi" w:hAnsiTheme="minorHAnsi"/>
          <w:sz w:val="22"/>
        </w:rPr>
        <w:t xml:space="preserve">εξετάζει </w:t>
      </w:r>
      <w:r w:rsidR="00FE3B3F" w:rsidRPr="002B5ECA">
        <w:rPr>
          <w:rFonts w:asciiTheme="minorHAnsi" w:hAnsiTheme="minorHAnsi"/>
          <w:sz w:val="22"/>
        </w:rPr>
        <w:t xml:space="preserve">τις εξελίξεις στο μακροοικονομικό και χρηματοπιστωτικό περιβάλλον, </w:t>
      </w:r>
      <w:r w:rsidRPr="002B5ECA">
        <w:rPr>
          <w:rFonts w:asciiTheme="minorHAnsi" w:hAnsiTheme="minorHAnsi"/>
          <w:sz w:val="22"/>
        </w:rPr>
        <w:t xml:space="preserve">αξιολογεί </w:t>
      </w:r>
      <w:r w:rsidR="00FE3B3F" w:rsidRPr="002B5ECA">
        <w:rPr>
          <w:rFonts w:asciiTheme="minorHAnsi" w:hAnsiTheme="minorHAnsi"/>
          <w:sz w:val="22"/>
        </w:rPr>
        <w:t xml:space="preserve">τους κινδύνους και την ανθεκτικότητα του τραπεζικού τομέα, των ασφαλιστικών επιχειρήσεων και των λοιπών τομέων του χρηματοπιστωτικού συστήματος. Με τη </w:t>
      </w:r>
      <w:proofErr w:type="spellStart"/>
      <w:r w:rsidR="00FE3B3F" w:rsidRPr="002B5ECA">
        <w:rPr>
          <w:rFonts w:asciiTheme="minorHAnsi" w:hAnsiTheme="minorHAnsi"/>
          <w:sz w:val="22"/>
        </w:rPr>
        <w:t>μακροπροληπτική</w:t>
      </w:r>
      <w:proofErr w:type="spellEnd"/>
      <w:r w:rsidR="00FE3B3F" w:rsidRPr="002B5ECA">
        <w:rPr>
          <w:rFonts w:asciiTheme="minorHAnsi" w:hAnsiTheme="minorHAnsi"/>
          <w:sz w:val="22"/>
        </w:rPr>
        <w:t xml:space="preserve"> πολιτική που ασκ</w:t>
      </w:r>
      <w:r w:rsidRPr="002B5ECA">
        <w:rPr>
          <w:rFonts w:asciiTheme="minorHAnsi" w:hAnsiTheme="minorHAnsi"/>
          <w:sz w:val="22"/>
        </w:rPr>
        <w:t>εί</w:t>
      </w:r>
      <w:r w:rsidR="00FE3B3F" w:rsidRPr="002B5ECA">
        <w:rPr>
          <w:rFonts w:asciiTheme="minorHAnsi" w:hAnsiTheme="minorHAnsi"/>
          <w:sz w:val="22"/>
        </w:rPr>
        <w:t xml:space="preserve"> </w:t>
      </w:r>
      <w:r w:rsidRPr="002B5ECA">
        <w:rPr>
          <w:rFonts w:asciiTheme="minorHAnsi" w:hAnsiTheme="minorHAnsi"/>
          <w:sz w:val="22"/>
        </w:rPr>
        <w:t xml:space="preserve">λαμβάνονται </w:t>
      </w:r>
      <w:r w:rsidR="00FE3B3F" w:rsidRPr="002B5ECA">
        <w:rPr>
          <w:rFonts w:asciiTheme="minorHAnsi" w:hAnsiTheme="minorHAnsi"/>
          <w:sz w:val="22"/>
        </w:rPr>
        <w:t xml:space="preserve">μέτρα που ενισχύουν την ανθεκτικότητα του συστήματος και περιορίζουν τη συσσώρευση κινδύνων — ώστε να </w:t>
      </w:r>
      <w:r w:rsidR="00677AE4">
        <w:rPr>
          <w:rFonts w:asciiTheme="minorHAnsi" w:hAnsiTheme="minorHAnsi"/>
          <w:sz w:val="22"/>
        </w:rPr>
        <w:t>προλαμβάνονται</w:t>
      </w:r>
      <w:r w:rsidR="00FE3B3F" w:rsidRPr="002B5ECA" w:rsidDel="005E77C6">
        <w:rPr>
          <w:rFonts w:asciiTheme="minorHAnsi" w:hAnsiTheme="minorHAnsi"/>
          <w:sz w:val="22"/>
        </w:rPr>
        <w:t xml:space="preserve"> </w:t>
      </w:r>
      <w:r w:rsidR="005E77C6">
        <w:rPr>
          <w:rFonts w:asciiTheme="minorHAnsi" w:hAnsiTheme="minorHAnsi"/>
          <w:sz w:val="22"/>
        </w:rPr>
        <w:t>δυσκολίες</w:t>
      </w:r>
      <w:r w:rsidR="005E77C6" w:rsidRPr="002B5ECA">
        <w:rPr>
          <w:rFonts w:asciiTheme="minorHAnsi" w:hAnsiTheme="minorHAnsi"/>
          <w:sz w:val="22"/>
        </w:rPr>
        <w:t xml:space="preserve"> </w:t>
      </w:r>
      <w:r w:rsidR="00FE3B3F" w:rsidRPr="002B5ECA">
        <w:rPr>
          <w:rFonts w:asciiTheme="minorHAnsi" w:hAnsiTheme="minorHAnsi"/>
          <w:sz w:val="22"/>
        </w:rPr>
        <w:t xml:space="preserve">που θα μπορούσαν να επηρεάσουν πολίτες, επιχειρήσεις και την οικονομία συνολικά. </w:t>
      </w:r>
    </w:p>
    <w:p w14:paraId="34AE05D8" w14:textId="26624FF1" w:rsidR="009D3569" w:rsidRPr="006C1930" w:rsidRDefault="009D3569" w:rsidP="00EA6501">
      <w:pPr>
        <w:spacing w:before="160" w:after="160"/>
        <w:rPr>
          <w:rStyle w:val="IntenseEmphasis"/>
          <w:rFonts w:asciiTheme="minorHAnsi" w:hAnsiTheme="minorHAnsi"/>
          <w:sz w:val="22"/>
          <w:szCs w:val="22"/>
        </w:rPr>
      </w:pPr>
      <w:r w:rsidRPr="006C1930">
        <w:rPr>
          <w:rStyle w:val="IntenseEmphasis"/>
          <w:rFonts w:ascii="Segoe UI Emoji" w:hAnsi="Segoe UI Emoji" w:cs="Segoe UI Emoji"/>
          <w:sz w:val="22"/>
          <w:szCs w:val="22"/>
        </w:rPr>
        <w:t>💳</w:t>
      </w:r>
      <w:r w:rsidRPr="006C1930">
        <w:rPr>
          <w:rStyle w:val="IntenseEmphasis"/>
          <w:rFonts w:asciiTheme="minorHAnsi" w:hAnsiTheme="minorHAnsi"/>
          <w:sz w:val="22"/>
          <w:szCs w:val="22"/>
        </w:rPr>
        <w:t xml:space="preserve"> Θέλω </w:t>
      </w:r>
      <w:r w:rsidR="00742C65" w:rsidRPr="006C1930">
        <w:rPr>
          <w:rStyle w:val="IntenseEmphasis"/>
          <w:rFonts w:asciiTheme="minorHAnsi" w:hAnsiTheme="minorHAnsi"/>
          <w:sz w:val="22"/>
          <w:szCs w:val="22"/>
        </w:rPr>
        <w:t>α</w:t>
      </w:r>
      <w:r w:rsidRPr="006C1930">
        <w:rPr>
          <w:rStyle w:val="IntenseEmphasis"/>
          <w:rFonts w:asciiTheme="minorHAnsi" w:hAnsiTheme="minorHAnsi"/>
          <w:sz w:val="22"/>
          <w:szCs w:val="22"/>
        </w:rPr>
        <w:t>σφαλείς συναλλαγές στην καθημερινότητ</w:t>
      </w:r>
      <w:r w:rsidR="00742C65" w:rsidRPr="006C1930">
        <w:rPr>
          <w:rStyle w:val="IntenseEmphasis"/>
          <w:rFonts w:asciiTheme="minorHAnsi" w:hAnsiTheme="minorHAnsi"/>
          <w:sz w:val="22"/>
          <w:szCs w:val="22"/>
        </w:rPr>
        <w:t>ά μου</w:t>
      </w:r>
    </w:p>
    <w:p w14:paraId="7BF9594D" w14:textId="042E552F" w:rsidR="000D1AC2" w:rsidRPr="002B5ECA" w:rsidRDefault="000D1AC2" w:rsidP="00EA6501">
      <w:pPr>
        <w:spacing w:before="160" w:after="160"/>
        <w:jc w:val="both"/>
        <w:rPr>
          <w:rFonts w:asciiTheme="minorHAnsi" w:hAnsiTheme="minorHAnsi"/>
          <w:sz w:val="22"/>
        </w:rPr>
      </w:pPr>
      <w:r w:rsidRPr="002B5ECA">
        <w:rPr>
          <w:rFonts w:asciiTheme="minorHAnsi" w:hAnsiTheme="minorHAnsi"/>
          <w:sz w:val="22"/>
        </w:rPr>
        <w:t>Οι πληρωμές είναι μέρος της καθημερινής μας ζωής: στο κατάστημα</w:t>
      </w:r>
      <w:r w:rsidR="00FB1186">
        <w:rPr>
          <w:rFonts w:asciiTheme="minorHAnsi" w:hAnsiTheme="minorHAnsi"/>
          <w:sz w:val="22"/>
        </w:rPr>
        <w:t xml:space="preserve"> ή</w:t>
      </w:r>
      <w:r w:rsidRPr="002B5ECA">
        <w:rPr>
          <w:rFonts w:asciiTheme="minorHAnsi" w:hAnsiTheme="minorHAnsi"/>
          <w:sz w:val="22"/>
        </w:rPr>
        <w:t xml:space="preserve"> στο διαδίκτυο, με κάρτα, κινητό ή μετρητά. </w:t>
      </w:r>
      <w:r w:rsidR="00A2598B" w:rsidRPr="002B5ECA">
        <w:rPr>
          <w:rFonts w:asciiTheme="minorHAnsi" w:hAnsiTheme="minorHAnsi"/>
          <w:sz w:val="22"/>
        </w:rPr>
        <w:t>Ε</w:t>
      </w:r>
      <w:r w:rsidRPr="002B5ECA">
        <w:rPr>
          <w:rFonts w:asciiTheme="minorHAnsi" w:hAnsiTheme="minorHAnsi"/>
          <w:sz w:val="22"/>
        </w:rPr>
        <w:t>ίναι σημαντικό να γίνονται με ασφάλεια, ταχύτητα και αξιοπιστία.</w:t>
      </w:r>
    </w:p>
    <w:p w14:paraId="629848C1" w14:textId="509C122E" w:rsidR="00677D46" w:rsidRPr="002B5ECA" w:rsidRDefault="000D1AC2" w:rsidP="00EA6501">
      <w:pPr>
        <w:spacing w:before="160" w:after="160"/>
        <w:jc w:val="both"/>
        <w:rPr>
          <w:rFonts w:asciiTheme="minorHAnsi" w:hAnsiTheme="minorHAnsi"/>
          <w:sz w:val="22"/>
        </w:rPr>
      </w:pPr>
      <w:r w:rsidRPr="002B5ECA">
        <w:rPr>
          <w:rFonts w:asciiTheme="minorHAnsi" w:hAnsiTheme="minorHAnsi"/>
          <w:sz w:val="22"/>
        </w:rPr>
        <w:t xml:space="preserve">Η Τράπεζα της Ελλάδος επιβλέπει </w:t>
      </w:r>
      <w:r w:rsidR="00A2598B" w:rsidRPr="002B5ECA">
        <w:rPr>
          <w:rFonts w:asciiTheme="minorHAnsi" w:hAnsiTheme="minorHAnsi"/>
          <w:sz w:val="22"/>
        </w:rPr>
        <w:t xml:space="preserve">τα </w:t>
      </w:r>
      <w:r w:rsidRPr="002B5ECA">
        <w:rPr>
          <w:rFonts w:asciiTheme="minorHAnsi" w:hAnsiTheme="minorHAnsi"/>
          <w:sz w:val="22"/>
        </w:rPr>
        <w:t>συστήματα και μέσα πληρωμών, καθώς και</w:t>
      </w:r>
      <w:r w:rsidR="00A2598B" w:rsidRPr="002B5ECA">
        <w:rPr>
          <w:rFonts w:asciiTheme="minorHAnsi" w:hAnsiTheme="minorHAnsi"/>
          <w:sz w:val="22"/>
        </w:rPr>
        <w:t xml:space="preserve"> τα</w:t>
      </w:r>
      <w:r w:rsidRPr="002B5ECA">
        <w:rPr>
          <w:rFonts w:asciiTheme="minorHAnsi" w:hAnsiTheme="minorHAnsi"/>
          <w:sz w:val="22"/>
        </w:rPr>
        <w:t xml:space="preserve"> συστήματα εκκαθάρισης συναλλαγών, ώστε να διασφαλίζεται η </w:t>
      </w:r>
      <w:r w:rsidR="00FB1186">
        <w:rPr>
          <w:rFonts w:asciiTheme="minorHAnsi" w:hAnsiTheme="minorHAnsi"/>
          <w:sz w:val="22"/>
        </w:rPr>
        <w:t>ομαλή</w:t>
      </w:r>
      <w:r w:rsidR="00FB1186" w:rsidRPr="002B5ECA">
        <w:rPr>
          <w:rFonts w:asciiTheme="minorHAnsi" w:hAnsiTheme="minorHAnsi"/>
          <w:sz w:val="22"/>
        </w:rPr>
        <w:t xml:space="preserve"> </w:t>
      </w:r>
      <w:r w:rsidRPr="002B5ECA">
        <w:rPr>
          <w:rFonts w:asciiTheme="minorHAnsi" w:hAnsiTheme="minorHAnsi"/>
          <w:sz w:val="22"/>
        </w:rPr>
        <w:t xml:space="preserve">λειτουργία τους για πολίτες και επιχειρήσεις. </w:t>
      </w:r>
    </w:p>
    <w:p w14:paraId="61C1E305" w14:textId="51BFB3EF" w:rsidR="00FE3B3F" w:rsidRPr="002B5ECA" w:rsidRDefault="00FE3B3F" w:rsidP="00EA6501">
      <w:pPr>
        <w:spacing w:before="160" w:after="160"/>
        <w:jc w:val="both"/>
        <w:rPr>
          <w:rFonts w:asciiTheme="minorHAnsi" w:hAnsiTheme="minorHAnsi"/>
          <w:sz w:val="22"/>
        </w:rPr>
      </w:pPr>
      <w:r w:rsidRPr="002B5ECA">
        <w:rPr>
          <w:rFonts w:asciiTheme="minorHAnsi" w:hAnsiTheme="minorHAnsi"/>
          <w:sz w:val="22"/>
        </w:rPr>
        <w:t xml:space="preserve">Μεριμνά επίσης για την ομαλή κυκλοφορία των μετρητών σε όλη τη χώρα. Στο πλαίσιο αυτό προμηθεύει τις εμπορικές τράπεζες με τραπεζογραμμάτια </w:t>
      </w:r>
      <w:r w:rsidR="00FB1186">
        <w:rPr>
          <w:rFonts w:asciiTheme="minorHAnsi" w:hAnsiTheme="minorHAnsi"/>
          <w:sz w:val="22"/>
        </w:rPr>
        <w:t xml:space="preserve">(αλλιώς χαρτονομίσματα) </w:t>
      </w:r>
      <w:r w:rsidRPr="002B5ECA">
        <w:rPr>
          <w:rFonts w:asciiTheme="minorHAnsi" w:hAnsiTheme="minorHAnsi"/>
          <w:sz w:val="22"/>
        </w:rPr>
        <w:t>και κέρματα ευρώ</w:t>
      </w:r>
      <w:r w:rsidR="00FB1186">
        <w:rPr>
          <w:rFonts w:asciiTheme="minorHAnsi" w:hAnsiTheme="minorHAnsi"/>
          <w:sz w:val="22"/>
        </w:rPr>
        <w:t xml:space="preserve">, με στόχο </w:t>
      </w:r>
      <w:r w:rsidRPr="002B5ECA">
        <w:rPr>
          <w:rFonts w:asciiTheme="minorHAnsi" w:hAnsiTheme="minorHAnsi"/>
          <w:sz w:val="22"/>
        </w:rPr>
        <w:t xml:space="preserve">να παραμένουν διαθέσιμα και αποδεκτά στις καθημερινές συναλλαγές. Ελέγχει τη γνησιότητα και την ποιότητα των μετρητών που επιστρέφουν στην κυκλοφορία, ενώ επενδύει σε σύγχρονες τεχνολογίες  ώστε τα </w:t>
      </w:r>
      <w:r w:rsidR="00C30BB1">
        <w:rPr>
          <w:rFonts w:asciiTheme="minorHAnsi" w:hAnsiTheme="minorHAnsi"/>
          <w:sz w:val="22"/>
        </w:rPr>
        <w:t>χαρτονομίσματα</w:t>
      </w:r>
      <w:r w:rsidRPr="002B5ECA">
        <w:rPr>
          <w:rFonts w:asciiTheme="minorHAnsi" w:hAnsiTheme="minorHAnsi"/>
          <w:sz w:val="22"/>
        </w:rPr>
        <w:t xml:space="preserve"> να είναι πιο ασφαλή και ανθεκτικά στη </w:t>
      </w:r>
      <w:r w:rsidR="00FB1186">
        <w:rPr>
          <w:rFonts w:asciiTheme="minorHAnsi" w:hAnsiTheme="minorHAnsi"/>
          <w:sz w:val="22"/>
        </w:rPr>
        <w:t xml:space="preserve">παραχάραξη και τη </w:t>
      </w:r>
      <w:r w:rsidRPr="002B5ECA">
        <w:rPr>
          <w:rFonts w:asciiTheme="minorHAnsi" w:hAnsiTheme="minorHAnsi"/>
          <w:sz w:val="22"/>
        </w:rPr>
        <w:t>φθορά.</w:t>
      </w:r>
    </w:p>
    <w:p w14:paraId="7E01B1C0" w14:textId="30E0EA7A" w:rsidR="00FE3B3F" w:rsidRDefault="00FE3B3F" w:rsidP="00EA6501">
      <w:pPr>
        <w:spacing w:before="160" w:after="160"/>
        <w:jc w:val="both"/>
        <w:rPr>
          <w:rFonts w:asciiTheme="minorHAnsi" w:hAnsiTheme="minorHAnsi"/>
          <w:sz w:val="22"/>
        </w:rPr>
      </w:pPr>
      <w:r w:rsidRPr="002B5ECA">
        <w:rPr>
          <w:rFonts w:asciiTheme="minorHAnsi" w:hAnsiTheme="minorHAnsi"/>
          <w:sz w:val="22"/>
        </w:rPr>
        <w:t>Η Τράπεζα</w:t>
      </w:r>
      <w:r w:rsidRPr="002B5ECA" w:rsidDel="00FB1186">
        <w:rPr>
          <w:rFonts w:asciiTheme="minorHAnsi" w:hAnsiTheme="minorHAnsi"/>
          <w:sz w:val="22"/>
        </w:rPr>
        <w:t xml:space="preserve"> </w:t>
      </w:r>
      <w:r w:rsidRPr="002B5ECA">
        <w:rPr>
          <w:rFonts w:asciiTheme="minorHAnsi" w:hAnsiTheme="minorHAnsi"/>
          <w:sz w:val="22"/>
        </w:rPr>
        <w:t>προετοιμάζεται επίσης για την ψηφιακή εποχή των πληρωμών, συμμετέχοντας μαζί με την Ευρωπαϊκή Κεντρική Τράπεζα και τις υπόλοιπες κεντρικές τράπεζες του Ευρωσυστήματος στην προετοιμασία του ψηφιακού ευρώ. Το ψηφιακό ευρώ θα είναι μια ψηφιακή μορφή μετρητών: δημόσιο χρήμα που θα συμπληρώνει —</w:t>
      </w:r>
      <w:r w:rsidR="00FB1186">
        <w:rPr>
          <w:rFonts w:asciiTheme="minorHAnsi" w:hAnsiTheme="minorHAnsi"/>
          <w:sz w:val="22"/>
        </w:rPr>
        <w:t xml:space="preserve"> </w:t>
      </w:r>
      <w:r w:rsidRPr="002B5ECA">
        <w:rPr>
          <w:rFonts w:asciiTheme="minorHAnsi" w:hAnsiTheme="minorHAnsi"/>
          <w:sz w:val="22"/>
        </w:rPr>
        <w:t xml:space="preserve">δεν θα αντικαθιστά — τα </w:t>
      </w:r>
      <w:r w:rsidR="00FB1186">
        <w:rPr>
          <w:rFonts w:asciiTheme="minorHAnsi" w:hAnsiTheme="minorHAnsi"/>
          <w:sz w:val="22"/>
        </w:rPr>
        <w:t>χαρτονομίσματα</w:t>
      </w:r>
      <w:r w:rsidR="00FB1186" w:rsidRPr="002B5ECA">
        <w:rPr>
          <w:rFonts w:asciiTheme="minorHAnsi" w:hAnsiTheme="minorHAnsi"/>
          <w:sz w:val="22"/>
        </w:rPr>
        <w:t xml:space="preserve"> </w:t>
      </w:r>
      <w:r w:rsidRPr="002B5ECA">
        <w:rPr>
          <w:rFonts w:asciiTheme="minorHAnsi" w:hAnsiTheme="minorHAnsi"/>
          <w:sz w:val="22"/>
        </w:rPr>
        <w:t xml:space="preserve">και τα κέρματα. Έτσι, θα προσφέρει μια πρόσθετη επιλογή για καθημερινές πληρωμές, με απλότητα, ασφάλεια, αξιοπιστία και </w:t>
      </w:r>
      <w:proofErr w:type="spellStart"/>
      <w:r w:rsidRPr="002B5ECA">
        <w:rPr>
          <w:rFonts w:asciiTheme="minorHAnsi" w:hAnsiTheme="minorHAnsi"/>
          <w:sz w:val="22"/>
        </w:rPr>
        <w:t>ιδιωτικότητα</w:t>
      </w:r>
      <w:proofErr w:type="spellEnd"/>
      <w:r w:rsidRPr="002B5ECA">
        <w:rPr>
          <w:rFonts w:asciiTheme="minorHAnsi" w:hAnsiTheme="minorHAnsi"/>
          <w:sz w:val="22"/>
        </w:rPr>
        <w:t>, συμβάλλοντας σε ένα σύγχρονο, ανθεκτικό, ευρωπαϊκό σύστημα πληρωμών.</w:t>
      </w:r>
    </w:p>
    <w:p w14:paraId="76A9C24C" w14:textId="77777777" w:rsidR="008435DE" w:rsidRPr="002B5ECA" w:rsidRDefault="008435DE" w:rsidP="00EA6501">
      <w:pPr>
        <w:spacing w:before="160" w:after="160"/>
        <w:jc w:val="both"/>
        <w:rPr>
          <w:rFonts w:asciiTheme="minorHAnsi" w:hAnsiTheme="minorHAnsi"/>
          <w:sz w:val="22"/>
        </w:rPr>
      </w:pPr>
    </w:p>
    <w:p w14:paraId="4C8DE5C5" w14:textId="3F1CC2FF" w:rsidR="007F23A7" w:rsidRPr="006C1930" w:rsidRDefault="007760AC" w:rsidP="00EA6501">
      <w:pPr>
        <w:spacing w:before="160" w:after="160"/>
        <w:jc w:val="both"/>
        <w:rPr>
          <w:rStyle w:val="IntenseEmphasis"/>
          <w:rFonts w:asciiTheme="minorHAnsi" w:hAnsiTheme="minorHAnsi"/>
          <w:sz w:val="22"/>
          <w:szCs w:val="22"/>
        </w:rPr>
      </w:pPr>
      <w:r w:rsidRPr="006C1930">
        <w:rPr>
          <w:rStyle w:val="IntenseEmphasis"/>
          <w:rFonts w:ascii="Segoe UI Emoji" w:hAnsi="Segoe UI Emoji" w:cs="Segoe UI Emoji"/>
          <w:sz w:val="22"/>
          <w:szCs w:val="22"/>
        </w:rPr>
        <w:lastRenderedPageBreak/>
        <w:t>📚</w:t>
      </w:r>
      <w:r w:rsidRPr="006C1930">
        <w:rPr>
          <w:rStyle w:val="IntenseEmphasis"/>
          <w:rFonts w:asciiTheme="minorHAnsi" w:hAnsiTheme="minorHAnsi"/>
          <w:sz w:val="22"/>
          <w:szCs w:val="22"/>
        </w:rPr>
        <w:t xml:space="preserve"> Θέλω να καταλαβαίνω καλύτερα την οικονομία</w:t>
      </w:r>
      <w:r w:rsidR="00373F10" w:rsidRPr="006C1930">
        <w:rPr>
          <w:rStyle w:val="IntenseEmphasis"/>
          <w:rFonts w:asciiTheme="minorHAnsi" w:hAnsiTheme="minorHAnsi"/>
          <w:sz w:val="22"/>
          <w:szCs w:val="22"/>
        </w:rPr>
        <w:t xml:space="preserve"> </w:t>
      </w:r>
    </w:p>
    <w:p w14:paraId="491EDBD8" w14:textId="34D4C31A" w:rsidR="006E2259" w:rsidRPr="002B5ECA" w:rsidRDefault="006E2259" w:rsidP="00EA6501">
      <w:pPr>
        <w:spacing w:before="160" w:after="160"/>
        <w:jc w:val="both"/>
        <w:rPr>
          <w:rFonts w:asciiTheme="minorHAnsi" w:hAnsiTheme="minorHAnsi"/>
          <w:sz w:val="22"/>
        </w:rPr>
      </w:pPr>
      <w:r w:rsidRPr="002B5ECA">
        <w:rPr>
          <w:rFonts w:asciiTheme="minorHAnsi" w:hAnsiTheme="minorHAnsi"/>
          <w:sz w:val="22"/>
        </w:rPr>
        <w:t xml:space="preserve">Είναι σημαντικό οι πολίτες να κατανοούν καλύτερα πώς λειτουργεί η οικονομία και πώς τους επηρεάζουν ζητήματα όπως ο πληθωρισμός, τα επιτόκια και </w:t>
      </w:r>
      <w:r w:rsidR="00FB1186">
        <w:rPr>
          <w:rFonts w:asciiTheme="minorHAnsi" w:hAnsiTheme="minorHAnsi"/>
          <w:sz w:val="22"/>
        </w:rPr>
        <w:t>το τραπεζικό σύστημα</w:t>
      </w:r>
      <w:r w:rsidRPr="002B5ECA">
        <w:rPr>
          <w:rFonts w:asciiTheme="minorHAnsi" w:hAnsiTheme="minorHAnsi"/>
          <w:sz w:val="22"/>
        </w:rPr>
        <w:t xml:space="preserve">. Για τον λόγο αυτό, η Τράπεζα της Ελλάδος δημοσιεύει στοιχεία, εκθέσεις και αναλύσεις για την ελληνική οικονομία, </w:t>
      </w:r>
      <w:r w:rsidR="003A4777" w:rsidRPr="002B5ECA">
        <w:rPr>
          <w:rFonts w:asciiTheme="minorHAnsi" w:hAnsiTheme="minorHAnsi"/>
          <w:sz w:val="22"/>
        </w:rPr>
        <w:t xml:space="preserve">τον πληθωρισμό, </w:t>
      </w:r>
      <w:r w:rsidRPr="002B5ECA">
        <w:rPr>
          <w:rFonts w:asciiTheme="minorHAnsi" w:hAnsiTheme="minorHAnsi"/>
          <w:sz w:val="22"/>
        </w:rPr>
        <w:t>τη</w:t>
      </w:r>
      <w:r w:rsidR="003A4777" w:rsidRPr="002B5ECA">
        <w:rPr>
          <w:rFonts w:asciiTheme="minorHAnsi" w:hAnsiTheme="minorHAnsi"/>
          <w:sz w:val="22"/>
        </w:rPr>
        <w:t>ν</w:t>
      </w:r>
      <w:r w:rsidRPr="002B5ECA">
        <w:rPr>
          <w:rFonts w:asciiTheme="minorHAnsi" w:hAnsiTheme="minorHAnsi"/>
          <w:sz w:val="22"/>
        </w:rPr>
        <w:t xml:space="preserve"> νομισματική πολιτική και τη χρηματοπιστωτική σταθερότητα, ενώ παράλληλα προωθεί την οικονομική έρευνα. </w:t>
      </w:r>
    </w:p>
    <w:p w14:paraId="5BC9AF8B" w14:textId="70A99C8C" w:rsidR="00FE3B3F" w:rsidRPr="002B5ECA" w:rsidRDefault="00FE3B3F" w:rsidP="00EA6501">
      <w:pPr>
        <w:spacing w:before="160" w:after="160"/>
        <w:jc w:val="both"/>
        <w:rPr>
          <w:rFonts w:asciiTheme="minorHAnsi" w:hAnsiTheme="minorHAnsi"/>
          <w:sz w:val="22"/>
        </w:rPr>
      </w:pPr>
      <w:r w:rsidRPr="002B5ECA">
        <w:rPr>
          <w:rFonts w:asciiTheme="minorHAnsi" w:hAnsiTheme="minorHAnsi"/>
          <w:sz w:val="22"/>
        </w:rPr>
        <w:t>Στο πλαίσιο της κοινωνικής της ευθύνης, η Τράπεζα αναλαμβάνει επιμορφωτικές ημερίδες και εκπαιδευτικές πρωτοβουλίες με σκοπό την προώθηση του οικονομικού αλφαβητισμού. Με αυτόν τον τρόπο, συμβάλλει στην ενίσχυση των οικονομικών γνώσεων των πολιτών και τη βελτίωση της διαχείρισης των προσωπικών τους οικονομικών .</w:t>
      </w:r>
    </w:p>
    <w:p w14:paraId="11914846" w14:textId="22FE7E72" w:rsidR="00D927F3" w:rsidRPr="006C1930" w:rsidRDefault="00830BC8" w:rsidP="00EA6501">
      <w:pPr>
        <w:spacing w:before="160" w:after="160"/>
        <w:rPr>
          <w:rStyle w:val="IntenseEmphasis"/>
          <w:rFonts w:asciiTheme="minorHAnsi" w:hAnsiTheme="minorHAnsi"/>
          <w:sz w:val="22"/>
          <w:szCs w:val="22"/>
        </w:rPr>
      </w:pPr>
      <w:r w:rsidRPr="006C1930">
        <w:rPr>
          <w:rStyle w:val="IntenseEmphasis"/>
          <w:rFonts w:ascii="Segoe UI Emoji" w:hAnsi="Segoe UI Emoji" w:cs="Segoe UI Emoji"/>
          <w:sz w:val="22"/>
          <w:szCs w:val="22"/>
        </w:rPr>
        <w:t>📚</w:t>
      </w:r>
      <w:r w:rsidRPr="006C1930">
        <w:rPr>
          <w:rStyle w:val="IntenseEmphasis"/>
          <w:rFonts w:asciiTheme="minorHAnsi" w:hAnsiTheme="minorHAnsi" w:cs="Segoe UI Emoji"/>
          <w:sz w:val="22"/>
          <w:szCs w:val="22"/>
        </w:rPr>
        <w:t xml:space="preserve"> </w:t>
      </w:r>
      <w:r w:rsidR="00374432" w:rsidRPr="006C1930">
        <w:rPr>
          <w:rStyle w:val="IntenseEmphasis"/>
          <w:rFonts w:asciiTheme="minorHAnsi" w:hAnsiTheme="minorHAnsi" w:cs="Calibri"/>
          <w:sz w:val="22"/>
          <w:szCs w:val="22"/>
        </w:rPr>
        <w:t>Άλλες</w:t>
      </w:r>
      <w:r w:rsidR="00374432" w:rsidRPr="006C1930">
        <w:rPr>
          <w:rStyle w:val="IntenseEmphasis"/>
          <w:rFonts w:asciiTheme="minorHAnsi" w:hAnsiTheme="minorHAnsi" w:cs="Segoe UI Emoji"/>
          <w:sz w:val="22"/>
          <w:szCs w:val="22"/>
        </w:rPr>
        <w:t xml:space="preserve"> </w:t>
      </w:r>
      <w:r w:rsidR="00374432" w:rsidRPr="006C1930">
        <w:rPr>
          <w:rStyle w:val="IntenseEmphasis"/>
          <w:rFonts w:asciiTheme="minorHAnsi" w:hAnsiTheme="minorHAnsi" w:cs="Calibri"/>
          <w:sz w:val="22"/>
          <w:szCs w:val="22"/>
        </w:rPr>
        <w:t>αρμοδιότητες</w:t>
      </w:r>
      <w:r w:rsidR="00374432" w:rsidRPr="006C1930">
        <w:rPr>
          <w:rStyle w:val="IntenseEmphasis"/>
          <w:rFonts w:asciiTheme="minorHAnsi" w:hAnsiTheme="minorHAnsi" w:cs="Segoe UI Emoji"/>
          <w:sz w:val="22"/>
          <w:szCs w:val="22"/>
        </w:rPr>
        <w:t xml:space="preserve"> </w:t>
      </w:r>
      <w:r w:rsidR="00374432" w:rsidRPr="006C1930">
        <w:rPr>
          <w:rStyle w:val="IntenseEmphasis"/>
          <w:rFonts w:asciiTheme="minorHAnsi" w:hAnsiTheme="minorHAnsi" w:cs="Calibri"/>
          <w:sz w:val="22"/>
          <w:szCs w:val="22"/>
        </w:rPr>
        <w:t>της</w:t>
      </w:r>
      <w:r w:rsidR="00374432" w:rsidRPr="006C1930">
        <w:rPr>
          <w:rStyle w:val="IntenseEmphasis"/>
          <w:rFonts w:asciiTheme="minorHAnsi" w:hAnsiTheme="minorHAnsi" w:cs="Segoe UI Emoji"/>
          <w:sz w:val="22"/>
          <w:szCs w:val="22"/>
        </w:rPr>
        <w:t xml:space="preserve"> </w:t>
      </w:r>
      <w:r w:rsidR="00AC7515" w:rsidRPr="006C1930">
        <w:rPr>
          <w:rStyle w:val="IntenseEmphasis"/>
          <w:rFonts w:asciiTheme="minorHAnsi" w:hAnsiTheme="minorHAnsi" w:cs="Calibri"/>
          <w:sz w:val="22"/>
          <w:szCs w:val="22"/>
        </w:rPr>
        <w:t>Τράπεζας</w:t>
      </w:r>
      <w:r w:rsidR="00AC7515" w:rsidRPr="006C1930">
        <w:rPr>
          <w:rStyle w:val="IntenseEmphasis"/>
          <w:rFonts w:asciiTheme="minorHAnsi" w:hAnsiTheme="minorHAnsi" w:cs="Segoe UI Emoji"/>
          <w:sz w:val="22"/>
          <w:szCs w:val="22"/>
        </w:rPr>
        <w:t xml:space="preserve"> </w:t>
      </w:r>
      <w:r w:rsidR="00AC7515" w:rsidRPr="006C1930">
        <w:rPr>
          <w:rStyle w:val="IntenseEmphasis"/>
          <w:rFonts w:asciiTheme="minorHAnsi" w:hAnsiTheme="minorHAnsi" w:cs="Calibri"/>
          <w:sz w:val="22"/>
          <w:szCs w:val="22"/>
        </w:rPr>
        <w:t>της Ελλάδος</w:t>
      </w:r>
    </w:p>
    <w:p w14:paraId="32098C13" w14:textId="4D633893" w:rsidR="006B2E6E" w:rsidRPr="006B2E6E" w:rsidRDefault="006B2E6E" w:rsidP="00143301">
      <w:pPr>
        <w:pStyle w:val="ListParagraph"/>
        <w:numPr>
          <w:ilvl w:val="0"/>
          <w:numId w:val="9"/>
        </w:numPr>
        <w:spacing w:before="120" w:after="120"/>
        <w:jc w:val="both"/>
        <w:rPr>
          <w:rFonts w:asciiTheme="minorHAnsi" w:hAnsiTheme="minorHAnsi"/>
          <w:sz w:val="22"/>
        </w:rPr>
      </w:pPr>
      <w:r w:rsidRPr="006B2E6E">
        <w:rPr>
          <w:rFonts w:asciiTheme="minorHAnsi" w:hAnsiTheme="minorHAnsi"/>
          <w:sz w:val="22"/>
        </w:rPr>
        <w:t xml:space="preserve">Κατέχει και διαχειρίζεται τα συναλλαγματικά διαθέσιμα της χώρας, στα οποία περιλαμβάνονται τα διαθέσιμα σε συνάλλαγμα και χρυσό της Τράπεζας της Ελλάδος και του Ελληνικού Δημοσίου. </w:t>
      </w:r>
    </w:p>
    <w:p w14:paraId="334F76C4" w14:textId="5B4FD9DF" w:rsidR="006B2E6E" w:rsidRPr="006B2E6E" w:rsidRDefault="006B2E6E" w:rsidP="00143301">
      <w:pPr>
        <w:pStyle w:val="ListParagraph"/>
        <w:numPr>
          <w:ilvl w:val="0"/>
          <w:numId w:val="9"/>
        </w:numPr>
        <w:spacing w:before="120" w:after="120"/>
        <w:jc w:val="both"/>
        <w:rPr>
          <w:rFonts w:asciiTheme="minorHAnsi" w:hAnsiTheme="minorHAnsi"/>
          <w:sz w:val="22"/>
        </w:rPr>
      </w:pPr>
      <w:r w:rsidRPr="006B2E6E">
        <w:rPr>
          <w:rFonts w:asciiTheme="minorHAnsi" w:hAnsiTheme="minorHAnsi"/>
          <w:sz w:val="22"/>
        </w:rPr>
        <w:t xml:space="preserve">Ενεργεί ως ταμίας και εντολοδόχος του Δημοσίου, τηρώντας λογαριασμούς και πραγματοποιώντας συναλλαγές για λογαριασμό του. </w:t>
      </w:r>
    </w:p>
    <w:p w14:paraId="0A8C0A15" w14:textId="4ED7206F" w:rsidR="006B2E6E" w:rsidRPr="006B2E6E" w:rsidRDefault="006B2E6E" w:rsidP="00143301">
      <w:pPr>
        <w:pStyle w:val="ListParagraph"/>
        <w:numPr>
          <w:ilvl w:val="0"/>
          <w:numId w:val="9"/>
        </w:numPr>
        <w:spacing w:before="120" w:after="120"/>
        <w:jc w:val="both"/>
        <w:rPr>
          <w:rFonts w:asciiTheme="minorHAnsi" w:hAnsiTheme="minorHAnsi"/>
          <w:sz w:val="22"/>
        </w:rPr>
      </w:pPr>
      <w:r w:rsidRPr="006B2E6E">
        <w:rPr>
          <w:rFonts w:asciiTheme="minorHAnsi" w:hAnsiTheme="minorHAnsi"/>
          <w:sz w:val="22"/>
        </w:rPr>
        <w:t xml:space="preserve">Συγκεντρώνει, επεξεργάζεται και δημοσιεύει στατιστικά στοιχεία για την ελληνική οικονομία, παρέχοντας έτσι μια σημαντική βάση δεδομένων που στηρίζει τόσο τη </w:t>
      </w:r>
      <w:r w:rsidR="004F06CE">
        <w:rPr>
          <w:rFonts w:asciiTheme="minorHAnsi" w:hAnsiTheme="minorHAnsi"/>
          <w:sz w:val="22"/>
        </w:rPr>
        <w:t xml:space="preserve">χάραξη της </w:t>
      </w:r>
      <w:r w:rsidRPr="006B2E6E">
        <w:rPr>
          <w:rFonts w:asciiTheme="minorHAnsi" w:hAnsiTheme="minorHAnsi"/>
          <w:sz w:val="22"/>
        </w:rPr>
        <w:t>νομισματική</w:t>
      </w:r>
      <w:r w:rsidR="004F06CE">
        <w:rPr>
          <w:rFonts w:asciiTheme="minorHAnsi" w:hAnsiTheme="minorHAnsi"/>
          <w:sz w:val="22"/>
        </w:rPr>
        <w:t>ς</w:t>
      </w:r>
      <w:r w:rsidRPr="006B2E6E">
        <w:rPr>
          <w:rFonts w:asciiTheme="minorHAnsi" w:hAnsiTheme="minorHAnsi"/>
          <w:sz w:val="22"/>
        </w:rPr>
        <w:t xml:space="preserve"> πολιτική</w:t>
      </w:r>
      <w:r w:rsidR="004F06CE">
        <w:rPr>
          <w:rFonts w:asciiTheme="minorHAnsi" w:hAnsiTheme="minorHAnsi"/>
          <w:sz w:val="22"/>
        </w:rPr>
        <w:t>ς</w:t>
      </w:r>
      <w:r w:rsidRPr="006B2E6E">
        <w:rPr>
          <w:rFonts w:asciiTheme="minorHAnsi" w:hAnsiTheme="minorHAnsi"/>
          <w:sz w:val="22"/>
        </w:rPr>
        <w:t xml:space="preserve"> όσο και την εποπτεία του χρηματοπιστωτικού συστήματος.</w:t>
      </w:r>
    </w:p>
    <w:p w14:paraId="396B890B" w14:textId="1B3FE335" w:rsidR="006B2E6E" w:rsidRPr="006B2E6E" w:rsidRDefault="006B2E6E" w:rsidP="00143301">
      <w:pPr>
        <w:pStyle w:val="ListParagraph"/>
        <w:numPr>
          <w:ilvl w:val="0"/>
          <w:numId w:val="9"/>
        </w:numPr>
        <w:spacing w:before="120" w:after="120"/>
        <w:jc w:val="both"/>
        <w:rPr>
          <w:rFonts w:asciiTheme="minorHAnsi" w:hAnsiTheme="minorHAnsi"/>
          <w:sz w:val="22"/>
        </w:rPr>
      </w:pPr>
      <w:r w:rsidRPr="006B2E6E">
        <w:rPr>
          <w:rFonts w:asciiTheme="minorHAnsi" w:hAnsiTheme="minorHAnsi"/>
          <w:sz w:val="22"/>
        </w:rPr>
        <w:t>Μεριμνά για την πρόληψη της νομιμοποίησης εσόδων από παράνομες δραστηριότητες.</w:t>
      </w:r>
    </w:p>
    <w:p w14:paraId="44619C9D" w14:textId="28F05083" w:rsidR="00830BC8" w:rsidRDefault="006B2E6E" w:rsidP="00870FD7">
      <w:pPr>
        <w:pStyle w:val="ListParagraph"/>
        <w:numPr>
          <w:ilvl w:val="0"/>
          <w:numId w:val="9"/>
        </w:numPr>
        <w:jc w:val="both"/>
        <w:rPr>
          <w:rFonts w:asciiTheme="minorHAnsi" w:hAnsiTheme="minorHAnsi"/>
          <w:sz w:val="22"/>
        </w:rPr>
      </w:pPr>
      <w:r w:rsidRPr="006B2E6E">
        <w:rPr>
          <w:rFonts w:asciiTheme="minorHAnsi" w:hAnsiTheme="minorHAnsi"/>
          <w:sz w:val="22"/>
        </w:rPr>
        <w:t>Είναι αρμόδια για την εξυγίανση των πιστωτικών ιδρυμάτων που δραστηριοποιούνται στη χώρα και, σε συνεργασία με το Ενιαίο Συμβούλιο Εξυγίανσης, καταρτίζει σχέδια και επιλέγει κατάλληλ</w:t>
      </w:r>
      <w:r w:rsidR="006809FE">
        <w:rPr>
          <w:rFonts w:asciiTheme="minorHAnsi" w:hAnsiTheme="minorHAnsi"/>
          <w:sz w:val="22"/>
        </w:rPr>
        <w:t>α</w:t>
      </w:r>
      <w:r w:rsidRPr="006B2E6E">
        <w:rPr>
          <w:rFonts w:asciiTheme="minorHAnsi" w:hAnsiTheme="minorHAnsi"/>
          <w:sz w:val="22"/>
        </w:rPr>
        <w:t xml:space="preserve"> </w:t>
      </w:r>
      <w:r w:rsidR="006809FE">
        <w:rPr>
          <w:rFonts w:asciiTheme="minorHAnsi" w:hAnsiTheme="minorHAnsi"/>
          <w:sz w:val="22"/>
        </w:rPr>
        <w:t>μέτρα</w:t>
      </w:r>
      <w:r w:rsidRPr="006B2E6E">
        <w:rPr>
          <w:rFonts w:asciiTheme="minorHAnsi" w:hAnsiTheme="minorHAnsi"/>
          <w:sz w:val="22"/>
        </w:rPr>
        <w:t xml:space="preserve"> για τη διασφάλιση των κρίσιμων λειτουργιών των ιδρυμάτων και την </w:t>
      </w:r>
      <w:r w:rsidR="006809FE">
        <w:rPr>
          <w:rFonts w:asciiTheme="minorHAnsi" w:hAnsiTheme="minorHAnsi"/>
          <w:sz w:val="22"/>
        </w:rPr>
        <w:t>θωράκιση</w:t>
      </w:r>
      <w:r w:rsidRPr="006B2E6E">
        <w:rPr>
          <w:rFonts w:asciiTheme="minorHAnsi" w:hAnsiTheme="minorHAnsi"/>
          <w:sz w:val="22"/>
        </w:rPr>
        <w:t xml:space="preserve"> της χρηματοπιστωτικής σταθερότητας.</w:t>
      </w:r>
    </w:p>
    <w:p w14:paraId="1AC6A26D" w14:textId="77777777" w:rsidR="00870FD7" w:rsidRPr="00FF3517" w:rsidRDefault="00870FD7" w:rsidP="004E76A7">
      <w:pPr>
        <w:pBdr>
          <w:bottom w:val="single" w:sz="4" w:space="1" w:color="C5D4EC"/>
        </w:pBdr>
        <w:spacing w:before="160" w:after="160"/>
        <w:rPr>
          <w:rFonts w:asciiTheme="minorHAnsi" w:hAnsiTheme="minorHAnsi"/>
          <w:sz w:val="4"/>
          <w:szCs w:val="4"/>
        </w:rPr>
      </w:pPr>
    </w:p>
    <w:p w14:paraId="02C644CA" w14:textId="54296D4D" w:rsidR="00161374" w:rsidRPr="002B5ECA" w:rsidRDefault="000B2252" w:rsidP="00870FD7">
      <w:pPr>
        <w:spacing w:after="120"/>
        <w:rPr>
          <w:rFonts w:asciiTheme="minorHAnsi" w:hAnsiTheme="minorHAnsi"/>
          <w:b/>
          <w:color w:val="003087"/>
          <w:sz w:val="28"/>
        </w:rPr>
      </w:pPr>
      <w:r w:rsidRPr="002B5ECA">
        <w:rPr>
          <w:rFonts w:asciiTheme="minorHAnsi" w:hAnsiTheme="minorHAnsi"/>
          <w:b/>
          <w:color w:val="003087"/>
          <w:sz w:val="28"/>
        </w:rPr>
        <w:t>3</w:t>
      </w:r>
      <w:r w:rsidR="00161374" w:rsidRPr="002B5ECA">
        <w:rPr>
          <w:rFonts w:asciiTheme="minorHAnsi" w:hAnsiTheme="minorHAnsi"/>
          <w:b/>
          <w:color w:val="003087"/>
          <w:sz w:val="28"/>
        </w:rPr>
        <w:t xml:space="preserve">. </w:t>
      </w:r>
      <w:r w:rsidR="00195ACF" w:rsidRPr="002B5ECA">
        <w:rPr>
          <w:rFonts w:asciiTheme="minorHAnsi" w:hAnsiTheme="minorHAnsi"/>
          <w:b/>
          <w:color w:val="003087"/>
          <w:sz w:val="28"/>
        </w:rPr>
        <w:t>Γιατί είναι σημαντική η σ</w:t>
      </w:r>
      <w:r w:rsidR="00161374" w:rsidRPr="002B5ECA">
        <w:rPr>
          <w:rFonts w:asciiTheme="minorHAnsi" w:hAnsiTheme="minorHAnsi"/>
          <w:b/>
          <w:color w:val="003087"/>
          <w:sz w:val="28"/>
        </w:rPr>
        <w:t>ταθερότητα των τιμών</w:t>
      </w:r>
      <w:r w:rsidR="004F6B2F">
        <w:rPr>
          <w:rFonts w:asciiTheme="minorHAnsi" w:hAnsiTheme="minorHAnsi"/>
          <w:b/>
          <w:color w:val="003087"/>
          <w:sz w:val="28"/>
        </w:rPr>
        <w:t>;</w:t>
      </w:r>
      <w:r w:rsidR="007F0E79" w:rsidRPr="002B5ECA">
        <w:rPr>
          <w:rFonts w:asciiTheme="minorHAnsi" w:hAnsiTheme="minorHAnsi"/>
          <w:b/>
          <w:color w:val="003087"/>
          <w:sz w:val="28"/>
        </w:rPr>
        <w:t xml:space="preserve"> </w:t>
      </w:r>
    </w:p>
    <w:p w14:paraId="4EDBDDD4" w14:textId="5EB19C52" w:rsidR="007A00EE" w:rsidRDefault="007A00EE" w:rsidP="008E5DB5">
      <w:pPr>
        <w:jc w:val="both"/>
        <w:rPr>
          <w:rFonts w:asciiTheme="minorHAnsi" w:hAnsiTheme="minorHAnsi"/>
          <w:sz w:val="22"/>
        </w:rPr>
      </w:pPr>
      <w:r w:rsidRPr="006B2E6E">
        <w:rPr>
          <w:rFonts w:asciiTheme="minorHAnsi" w:hAnsiTheme="minorHAnsi"/>
          <w:sz w:val="22"/>
        </w:rPr>
        <w:t>Η σταθερότητα των τιμών αποτελεί θεμέλιο για μία υγιή οικονομία και μια δίκαιη κοινωνία.</w:t>
      </w:r>
      <w:r w:rsidR="00143301" w:rsidRPr="00143301">
        <w:rPr>
          <w:rFonts w:asciiTheme="minorHAnsi" w:hAnsiTheme="minorHAnsi"/>
          <w:sz w:val="22"/>
        </w:rPr>
        <w:t xml:space="preserve"> </w:t>
      </w:r>
      <w:r w:rsidR="00143301">
        <w:rPr>
          <w:rFonts w:asciiTheme="minorHAnsi" w:hAnsiTheme="minorHAnsi"/>
          <w:sz w:val="22"/>
        </w:rPr>
        <w:t>Βο</w:t>
      </w:r>
      <w:r w:rsidR="00143301" w:rsidRPr="00E817A6">
        <w:rPr>
          <w:rFonts w:asciiTheme="minorHAnsi" w:hAnsiTheme="minorHAnsi"/>
          <w:sz w:val="22"/>
        </w:rPr>
        <w:t>ηθά την ομαλή λειτουργία της οικονομίας, στηρίζει την ανάπτυξη και την απασχόληση, και ενισχύει την εμπιστοσύνη των πολιτών στο νόμισμα</w:t>
      </w:r>
      <w:r w:rsidR="00143301">
        <w:rPr>
          <w:rFonts w:asciiTheme="minorHAnsi" w:hAnsiTheme="minorHAnsi"/>
          <w:sz w:val="22"/>
        </w:rPr>
        <w:t>.</w:t>
      </w:r>
    </w:p>
    <w:p w14:paraId="437FE661" w14:textId="77777777" w:rsidR="00143301" w:rsidRPr="00D45690" w:rsidRDefault="00143301" w:rsidP="00143301">
      <w:pPr>
        <w:pStyle w:val="IntenseQuote"/>
        <w:ind w:left="284" w:right="390"/>
        <w:rPr>
          <w:rFonts w:asciiTheme="minorHAnsi" w:hAnsiTheme="minorHAnsi"/>
          <w:sz w:val="24"/>
          <w:szCs w:val="24"/>
        </w:rPr>
      </w:pPr>
      <w:r w:rsidRPr="00D45690">
        <w:rPr>
          <w:rFonts w:asciiTheme="minorHAnsi" w:hAnsiTheme="minorHAnsi"/>
          <w:sz w:val="24"/>
          <w:szCs w:val="24"/>
        </w:rPr>
        <w:t>Η διατήρηση της σταθερότητας των τιμών είναι η καλύτερη συμβολή της νομισματικής πολιτικής στην οικονομική ανάπτυξη και τη δημιουργία θέσεων εργασίας.</w:t>
      </w:r>
    </w:p>
    <w:p w14:paraId="133268A9" w14:textId="00C48D8B" w:rsidR="007A00EE" w:rsidRPr="006B2E6E" w:rsidRDefault="007A00EE" w:rsidP="008E5DB5">
      <w:pPr>
        <w:pStyle w:val="ListParagraph"/>
        <w:numPr>
          <w:ilvl w:val="0"/>
          <w:numId w:val="9"/>
        </w:numPr>
        <w:spacing w:after="120"/>
        <w:jc w:val="both"/>
        <w:rPr>
          <w:rFonts w:asciiTheme="minorHAnsi" w:hAnsiTheme="minorHAnsi"/>
          <w:sz w:val="22"/>
        </w:rPr>
      </w:pPr>
      <w:r w:rsidRPr="006B2E6E">
        <w:rPr>
          <w:rFonts w:asciiTheme="minorHAnsi" w:hAnsiTheme="minorHAnsi"/>
          <w:sz w:val="22"/>
        </w:rPr>
        <w:t>Όταν οι τιμές παραμένουν σχετικά σταθερές με την πάροδο του χρόνου, τα νοικοκυριά και οι επιχειρήσεις μπορούν να προγραμματίζουν με μεγαλύτερη βεβαιότητα τις αποφάσεις τους για κατανάλωση, αποταμίευση ή επενδύσεις. Έτσι, η οικονομία λειτουργεί πιο ομαλά και δημιουργούνται οι συνθήκες για ανάπτυξη και ευημερία.</w:t>
      </w:r>
    </w:p>
    <w:p w14:paraId="46FE22B7" w14:textId="410B6020" w:rsidR="007A00EE" w:rsidRPr="006B2E6E" w:rsidRDefault="007A00EE" w:rsidP="00F30E72">
      <w:pPr>
        <w:pStyle w:val="ListParagraph"/>
        <w:numPr>
          <w:ilvl w:val="0"/>
          <w:numId w:val="9"/>
        </w:numPr>
        <w:spacing w:before="120" w:after="120"/>
        <w:jc w:val="both"/>
        <w:rPr>
          <w:rFonts w:asciiTheme="minorHAnsi" w:hAnsiTheme="minorHAnsi"/>
          <w:sz w:val="22"/>
        </w:rPr>
      </w:pPr>
      <w:r w:rsidRPr="006B2E6E">
        <w:rPr>
          <w:rFonts w:asciiTheme="minorHAnsi" w:hAnsiTheme="minorHAnsi"/>
          <w:sz w:val="22"/>
        </w:rPr>
        <w:t>Αντίθετα, έντονες μεταβολές των τιμών - είτε προς τα πάνω</w:t>
      </w:r>
      <w:r w:rsidR="006311B7" w:rsidRPr="00F30E72">
        <w:rPr>
          <w:rFonts w:asciiTheme="minorHAnsi" w:hAnsiTheme="minorHAnsi"/>
          <w:sz w:val="22"/>
          <w:szCs w:val="22"/>
        </w:rPr>
        <w:t>,</w:t>
      </w:r>
      <w:r w:rsidR="006311B7" w:rsidRPr="006B2E6E">
        <w:rPr>
          <w:rFonts w:asciiTheme="minorHAnsi" w:hAnsiTheme="minorHAnsi"/>
          <w:sz w:val="22"/>
        </w:rPr>
        <w:t xml:space="preserve"> </w:t>
      </w:r>
      <w:r w:rsidRPr="006B2E6E">
        <w:rPr>
          <w:rFonts w:asciiTheme="minorHAnsi" w:hAnsiTheme="minorHAnsi"/>
          <w:sz w:val="22"/>
        </w:rPr>
        <w:t>είτε προς τα κάτω - δημιουργούν αβεβαιότητα και δυσκολεύουν τον οικονομικό προγραμματισμό. Τα νοικοκυριά μπορεί να αναβάλλουν δαπάνες και οι επιχειρήσεις επενδύσεις. Λιγότερες επενδύσεις σημαίνουν χαμηλότερη παραγωγικότητα, ασθενέστερη ανάπτυξη και λιγότερες θέσεις εργασίας.</w:t>
      </w:r>
      <w:r w:rsidR="000B2252" w:rsidRPr="006B2E6E">
        <w:rPr>
          <w:rFonts w:asciiTheme="minorHAnsi" w:hAnsiTheme="minorHAnsi"/>
          <w:sz w:val="22"/>
        </w:rPr>
        <w:t xml:space="preserve"> </w:t>
      </w:r>
    </w:p>
    <w:p w14:paraId="1E86B11B" w14:textId="45C429B0" w:rsidR="007A00EE" w:rsidRDefault="007A00EE" w:rsidP="00F30E72">
      <w:pPr>
        <w:pStyle w:val="ListParagraph"/>
        <w:numPr>
          <w:ilvl w:val="0"/>
          <w:numId w:val="9"/>
        </w:numPr>
        <w:spacing w:before="120" w:after="120"/>
        <w:jc w:val="both"/>
        <w:rPr>
          <w:rFonts w:asciiTheme="minorHAnsi" w:hAnsiTheme="minorHAnsi"/>
          <w:sz w:val="22"/>
        </w:rPr>
      </w:pPr>
      <w:r w:rsidRPr="006B2E6E">
        <w:rPr>
          <w:rFonts w:asciiTheme="minorHAnsi" w:hAnsiTheme="minorHAnsi"/>
          <w:sz w:val="22"/>
        </w:rPr>
        <w:t xml:space="preserve">Η σταθερότητα των τιμών </w:t>
      </w:r>
      <w:r w:rsidR="000B2252" w:rsidRPr="006B2E6E">
        <w:rPr>
          <w:rFonts w:asciiTheme="minorHAnsi" w:hAnsiTheme="minorHAnsi"/>
          <w:sz w:val="22"/>
        </w:rPr>
        <w:t>ωφελεί και την</w:t>
      </w:r>
      <w:r w:rsidRPr="006B2E6E">
        <w:rPr>
          <w:rFonts w:asciiTheme="minorHAnsi" w:hAnsiTheme="minorHAnsi"/>
          <w:sz w:val="22"/>
        </w:rPr>
        <w:t xml:space="preserve"> κοινωνική δικαιοσύνη. Όταν οι τιμές αυξάνονται γρήγορα, ιδίως σε βασικά αγαθά όπως τρόφιμα και ενέργεια, </w:t>
      </w:r>
      <w:r w:rsidR="004F6B2F">
        <w:rPr>
          <w:rFonts w:asciiTheme="minorHAnsi" w:hAnsiTheme="minorHAnsi"/>
          <w:sz w:val="22"/>
        </w:rPr>
        <w:t>η αγοραστική δύναμη των</w:t>
      </w:r>
      <w:r w:rsidRPr="00F65155">
        <w:rPr>
          <w:rFonts w:asciiTheme="minorHAnsi" w:hAnsiTheme="minorHAnsi"/>
          <w:sz w:val="22"/>
        </w:rPr>
        <w:t xml:space="preserve"> νοικοκυρι</w:t>
      </w:r>
      <w:r w:rsidR="004F6B2F">
        <w:rPr>
          <w:rFonts w:asciiTheme="minorHAnsi" w:hAnsiTheme="minorHAnsi"/>
          <w:sz w:val="22"/>
        </w:rPr>
        <w:t>ών</w:t>
      </w:r>
      <w:r w:rsidRPr="00F65155">
        <w:rPr>
          <w:rFonts w:asciiTheme="minorHAnsi" w:hAnsiTheme="minorHAnsi"/>
          <w:sz w:val="22"/>
        </w:rPr>
        <w:t xml:space="preserve"> με χαμηλότερα εισοδήματα επιβαρύν</w:t>
      </w:r>
      <w:r w:rsidR="004F6B2F">
        <w:rPr>
          <w:rFonts w:asciiTheme="minorHAnsi" w:hAnsiTheme="minorHAnsi"/>
          <w:sz w:val="22"/>
        </w:rPr>
        <w:t>ε</w:t>
      </w:r>
      <w:r w:rsidRPr="00E817A6">
        <w:rPr>
          <w:rFonts w:asciiTheme="minorHAnsi" w:hAnsiTheme="minorHAnsi"/>
          <w:sz w:val="22"/>
        </w:rPr>
        <w:t xml:space="preserve">ται δυσανάλογα. Αυτό συμβαίνει επειδή δαπανούν μεγαλύτερο μέρος του εισοδήματός τους για την κάλυψη των καθημερινών τους </w:t>
      </w:r>
      <w:r w:rsidR="000B2252" w:rsidRPr="00E817A6">
        <w:rPr>
          <w:rFonts w:asciiTheme="minorHAnsi" w:hAnsiTheme="minorHAnsi"/>
          <w:sz w:val="22"/>
        </w:rPr>
        <w:t>αναγκών</w:t>
      </w:r>
      <w:r w:rsidRPr="00E817A6">
        <w:rPr>
          <w:rFonts w:asciiTheme="minorHAnsi" w:hAnsiTheme="minorHAnsi"/>
          <w:sz w:val="22"/>
        </w:rPr>
        <w:t xml:space="preserve">. </w:t>
      </w:r>
    </w:p>
    <w:p w14:paraId="753413DF" w14:textId="77777777" w:rsidR="004F06CE" w:rsidRPr="00806A07" w:rsidRDefault="004F06CE" w:rsidP="004F06CE">
      <w:pPr>
        <w:pStyle w:val="ListParagraph"/>
        <w:pBdr>
          <w:bottom w:val="single" w:sz="4" w:space="1" w:color="C5D4EC"/>
        </w:pBdr>
        <w:spacing w:before="160" w:after="160"/>
        <w:ind w:left="360"/>
        <w:rPr>
          <w:rFonts w:asciiTheme="minorHAnsi" w:hAnsiTheme="minorHAnsi"/>
          <w:sz w:val="4"/>
          <w:szCs w:val="4"/>
        </w:rPr>
      </w:pPr>
    </w:p>
    <w:p w14:paraId="47F012D3" w14:textId="0555B621" w:rsidR="006C6BC5" w:rsidRPr="005C1969" w:rsidRDefault="00D90CB3" w:rsidP="006C6BC5">
      <w:pPr>
        <w:spacing w:before="280" w:after="120"/>
        <w:rPr>
          <w:rFonts w:asciiTheme="minorHAnsi" w:hAnsiTheme="minorHAnsi"/>
          <w:b/>
          <w:bCs/>
          <w:color w:val="003087"/>
          <w:sz w:val="28"/>
          <w:szCs w:val="28"/>
        </w:rPr>
      </w:pPr>
      <w:r w:rsidRPr="005C1969">
        <w:rPr>
          <w:rFonts w:asciiTheme="minorHAnsi" w:hAnsiTheme="minorHAnsi"/>
          <w:b/>
          <w:bCs/>
          <w:color w:val="003087"/>
          <w:sz w:val="28"/>
          <w:szCs w:val="28"/>
        </w:rPr>
        <w:lastRenderedPageBreak/>
        <w:t>4</w:t>
      </w:r>
      <w:r w:rsidR="006C6BC5" w:rsidRPr="005C1969">
        <w:rPr>
          <w:rFonts w:asciiTheme="minorHAnsi" w:hAnsiTheme="minorHAnsi"/>
          <w:b/>
          <w:bCs/>
          <w:color w:val="003087"/>
          <w:sz w:val="28"/>
          <w:szCs w:val="28"/>
        </w:rPr>
        <w:t xml:space="preserve">. </w:t>
      </w:r>
      <w:r w:rsidR="004F6B2F">
        <w:rPr>
          <w:rFonts w:asciiTheme="minorHAnsi" w:hAnsiTheme="minorHAnsi"/>
          <w:b/>
          <w:bCs/>
          <w:color w:val="003087"/>
          <w:sz w:val="28"/>
          <w:szCs w:val="28"/>
        </w:rPr>
        <w:t>Πώς ορίζεται</w:t>
      </w:r>
      <w:r w:rsidR="000157C6" w:rsidDel="004F6B2F">
        <w:rPr>
          <w:rFonts w:asciiTheme="minorHAnsi" w:hAnsiTheme="minorHAnsi"/>
          <w:b/>
          <w:color w:val="003087"/>
          <w:sz w:val="28"/>
          <w:szCs w:val="28"/>
        </w:rPr>
        <w:t xml:space="preserve"> </w:t>
      </w:r>
      <w:r w:rsidR="000157C6">
        <w:rPr>
          <w:rFonts w:asciiTheme="minorHAnsi" w:hAnsiTheme="minorHAnsi"/>
          <w:b/>
          <w:bCs/>
          <w:color w:val="003087"/>
          <w:sz w:val="28"/>
          <w:szCs w:val="28"/>
        </w:rPr>
        <w:t>η σ</w:t>
      </w:r>
      <w:r w:rsidR="008E268A" w:rsidRPr="005C1969">
        <w:rPr>
          <w:rFonts w:asciiTheme="minorHAnsi" w:hAnsiTheme="minorHAnsi"/>
          <w:b/>
          <w:bCs/>
          <w:color w:val="003087"/>
          <w:sz w:val="28"/>
          <w:szCs w:val="28"/>
        </w:rPr>
        <w:t>ταθερότητα των τιμών</w:t>
      </w:r>
      <w:r w:rsidR="004F6B2F">
        <w:rPr>
          <w:rFonts w:asciiTheme="minorHAnsi" w:hAnsiTheme="minorHAnsi"/>
          <w:b/>
          <w:bCs/>
          <w:color w:val="003087"/>
          <w:sz w:val="28"/>
          <w:szCs w:val="28"/>
        </w:rPr>
        <w:t>;</w:t>
      </w:r>
      <w:r w:rsidR="008E268A" w:rsidRPr="005C1969">
        <w:rPr>
          <w:rFonts w:asciiTheme="minorHAnsi" w:hAnsiTheme="minorHAnsi"/>
          <w:b/>
          <w:bCs/>
          <w:color w:val="003087"/>
          <w:sz w:val="28"/>
          <w:szCs w:val="28"/>
        </w:rPr>
        <w:t xml:space="preserve"> </w:t>
      </w:r>
    </w:p>
    <w:p w14:paraId="52EF313B" w14:textId="25B14A92" w:rsidR="00B33E08" w:rsidRPr="00452148" w:rsidRDefault="00B14E16" w:rsidP="00BF13E5">
      <w:pPr>
        <w:jc w:val="both"/>
        <w:rPr>
          <w:rFonts w:asciiTheme="minorHAnsi" w:hAnsiTheme="minorHAnsi"/>
          <w:sz w:val="22"/>
          <w:szCs w:val="22"/>
        </w:rPr>
      </w:pPr>
      <w:r w:rsidRPr="00452148">
        <w:rPr>
          <w:rFonts w:asciiTheme="minorHAnsi" w:hAnsiTheme="minorHAnsi"/>
          <w:sz w:val="22"/>
          <w:szCs w:val="22"/>
        </w:rPr>
        <w:t>Το πρωταρχικό καθήκον</w:t>
      </w:r>
      <w:r w:rsidRPr="000D14A5">
        <w:rPr>
          <w:rFonts w:asciiTheme="minorHAnsi" w:hAnsiTheme="minorHAnsi"/>
          <w:sz w:val="22"/>
          <w:szCs w:val="22"/>
        </w:rPr>
        <w:t xml:space="preserve"> του Ευρωσυστήματος</w:t>
      </w:r>
      <w:r w:rsidR="00725596" w:rsidRPr="00452148">
        <w:rPr>
          <w:rFonts w:asciiTheme="minorHAnsi" w:hAnsiTheme="minorHAnsi"/>
          <w:sz w:val="22"/>
          <w:szCs w:val="22"/>
        </w:rPr>
        <w:t xml:space="preserve"> </w:t>
      </w:r>
      <w:r w:rsidRPr="000D14A5">
        <w:rPr>
          <w:rFonts w:asciiTheme="minorHAnsi" w:hAnsiTheme="minorHAnsi"/>
          <w:sz w:val="22"/>
          <w:szCs w:val="22"/>
        </w:rPr>
        <w:t xml:space="preserve">είναι η διασφάλιση της σταθερότητας των τιμών. </w:t>
      </w:r>
      <w:r w:rsidRPr="00452148">
        <w:rPr>
          <w:rFonts w:asciiTheme="minorHAnsi" w:hAnsiTheme="minorHAnsi"/>
          <w:sz w:val="22"/>
          <w:szCs w:val="22"/>
        </w:rPr>
        <w:t>Για τον σκοπό αυτό, το Ευρωσύστημα έχει διατυπώσει έναν ποσοτικό ορισμό:</w:t>
      </w:r>
      <w:r w:rsidRPr="00452148" w:rsidDel="004F6B2F">
        <w:rPr>
          <w:rFonts w:asciiTheme="minorHAnsi" w:hAnsiTheme="minorHAnsi"/>
          <w:sz w:val="22"/>
          <w:szCs w:val="22"/>
        </w:rPr>
        <w:t xml:space="preserve"> </w:t>
      </w:r>
      <w:r w:rsidR="004F6B2F" w:rsidRPr="00452148">
        <w:rPr>
          <w:rFonts w:asciiTheme="minorHAnsi" w:hAnsiTheme="minorHAnsi"/>
          <w:sz w:val="22"/>
          <w:szCs w:val="22"/>
        </w:rPr>
        <w:t xml:space="preserve">η σταθερότητα των τιμών </w:t>
      </w:r>
      <w:r w:rsidR="003539E1" w:rsidRPr="00452148">
        <w:rPr>
          <w:rFonts w:asciiTheme="minorHAnsi" w:hAnsiTheme="minorHAnsi"/>
          <w:sz w:val="22"/>
          <w:szCs w:val="22"/>
        </w:rPr>
        <w:t>διατηρείται</w:t>
      </w:r>
      <w:r w:rsidR="004F6B2F" w:rsidRPr="00452148">
        <w:rPr>
          <w:rFonts w:asciiTheme="minorHAnsi" w:hAnsiTheme="minorHAnsi"/>
          <w:sz w:val="22"/>
          <w:szCs w:val="22"/>
        </w:rPr>
        <w:t xml:space="preserve"> όταν </w:t>
      </w:r>
      <w:r w:rsidRPr="00452148">
        <w:rPr>
          <w:rFonts w:asciiTheme="minorHAnsi" w:hAnsiTheme="minorHAnsi"/>
          <w:sz w:val="22"/>
          <w:szCs w:val="22"/>
        </w:rPr>
        <w:t xml:space="preserve">ο </w:t>
      </w:r>
      <w:r w:rsidR="00B33E08" w:rsidRPr="00452148">
        <w:rPr>
          <w:rFonts w:asciiTheme="minorHAnsi" w:hAnsiTheme="minorHAnsi"/>
          <w:sz w:val="22"/>
          <w:szCs w:val="22"/>
        </w:rPr>
        <w:t xml:space="preserve">πληθωρισμός στη ζώνη του ευρώ, δηλαδή </w:t>
      </w:r>
      <w:r w:rsidR="00B33E08" w:rsidRPr="000D14A5">
        <w:rPr>
          <w:rFonts w:asciiTheme="minorHAnsi" w:hAnsiTheme="minorHAnsi"/>
          <w:sz w:val="22"/>
          <w:szCs w:val="22"/>
        </w:rPr>
        <w:t>ο ρυθμός με τον οποίο οι τιμές μεταβάλλονται με την πάροδο του χρόνου</w:t>
      </w:r>
      <w:r w:rsidR="00686DFF" w:rsidRPr="000D14A5">
        <w:rPr>
          <w:rFonts w:asciiTheme="minorHAnsi" w:hAnsiTheme="minorHAnsi"/>
          <w:sz w:val="22"/>
          <w:szCs w:val="22"/>
        </w:rPr>
        <w:t>,</w:t>
      </w:r>
      <w:r w:rsidR="00B33E08" w:rsidRPr="000D14A5">
        <w:rPr>
          <w:rFonts w:asciiTheme="minorHAnsi" w:hAnsiTheme="minorHAnsi"/>
          <w:sz w:val="22"/>
          <w:szCs w:val="22"/>
        </w:rPr>
        <w:t xml:space="preserve"> παραμένει χαμηλός, σταθερός και προβλέψιμος, ίσος με 2% μεσοπρόθεσμα. </w:t>
      </w:r>
    </w:p>
    <w:p w14:paraId="14EB7277" w14:textId="77777777" w:rsidR="00EA6501" w:rsidRPr="00452148" w:rsidRDefault="00EA6501" w:rsidP="00EA6501">
      <w:pPr>
        <w:pStyle w:val="IntenseQuote"/>
        <w:ind w:left="862" w:right="862"/>
        <w:rPr>
          <w:rFonts w:asciiTheme="minorHAnsi" w:hAnsiTheme="minorHAnsi"/>
          <w:i w:val="0"/>
          <w:sz w:val="24"/>
          <w:szCs w:val="24"/>
        </w:rPr>
      </w:pPr>
      <w:r w:rsidRPr="00452148">
        <w:rPr>
          <w:rFonts w:asciiTheme="minorHAnsi" w:hAnsiTheme="minorHAnsi"/>
          <w:noProof/>
          <w:sz w:val="24"/>
          <w:szCs w:val="24"/>
        </w:rPr>
        <w:drawing>
          <wp:anchor distT="0" distB="0" distL="114300" distR="114300" simplePos="0" relativeHeight="251658242" behindDoc="1" locked="0" layoutInCell="1" allowOverlap="1" wp14:anchorId="2792EA9E" wp14:editId="4A3F6965">
            <wp:simplePos x="0" y="0"/>
            <wp:positionH relativeFrom="column">
              <wp:posOffset>-27305</wp:posOffset>
            </wp:positionH>
            <wp:positionV relativeFrom="paragraph">
              <wp:posOffset>140970</wp:posOffset>
            </wp:positionV>
            <wp:extent cx="743585" cy="753110"/>
            <wp:effectExtent l="0" t="0" r="0" b="8890"/>
            <wp:wrapTight wrapText="bothSides">
              <wp:wrapPolygon edited="0">
                <wp:start x="0" y="0"/>
                <wp:lineTo x="0" y="21309"/>
                <wp:lineTo x="21028" y="21309"/>
                <wp:lineTo x="21028" y="0"/>
                <wp:lineTo x="0" y="0"/>
              </wp:wrapPolygon>
            </wp:wrapTight>
            <wp:docPr id="471955123" name="Picture 1" descr="A dart board with a arrow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472381" name="Picture 1" descr="A dart board with a arrow in the center&#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43585" cy="753110"/>
                    </a:xfrm>
                    <a:prstGeom prst="rect">
                      <a:avLst/>
                    </a:prstGeom>
                  </pic:spPr>
                </pic:pic>
              </a:graphicData>
            </a:graphic>
            <wp14:sizeRelH relativeFrom="margin">
              <wp14:pctWidth>0</wp14:pctWidth>
            </wp14:sizeRelH>
            <wp14:sizeRelV relativeFrom="margin">
              <wp14:pctHeight>0</wp14:pctHeight>
            </wp14:sizeRelV>
          </wp:anchor>
        </w:drawing>
      </w:r>
      <w:r w:rsidRPr="00452148">
        <w:rPr>
          <w:rFonts w:asciiTheme="minorHAnsi" w:hAnsiTheme="minorHAnsi"/>
          <w:sz w:val="24"/>
          <w:szCs w:val="24"/>
        </w:rPr>
        <w:t xml:space="preserve">Η σταθερότητα των τιμών επιτυγχάνεται καλύτερα όταν επιδιώκεται πληθωρισμός 2% στη ζώνη του ευρώ σε μεσοπρόθεσμη βάση. </w:t>
      </w:r>
    </w:p>
    <w:p w14:paraId="389F1B38" w14:textId="1BB7167F" w:rsidR="00143301" w:rsidRDefault="00673F8C" w:rsidP="00EA6501">
      <w:pPr>
        <w:jc w:val="both"/>
        <w:rPr>
          <w:rFonts w:asciiTheme="minorHAnsi" w:hAnsiTheme="minorHAnsi"/>
          <w:sz w:val="22"/>
          <w:szCs w:val="22"/>
        </w:rPr>
      </w:pPr>
      <w:r w:rsidRPr="00452148">
        <w:rPr>
          <w:rFonts w:asciiTheme="minorHAnsi" w:hAnsiTheme="minorHAnsi"/>
          <w:sz w:val="22"/>
          <w:szCs w:val="22"/>
        </w:rPr>
        <w:t>Η δέσμευσ</w:t>
      </w:r>
      <w:r w:rsidR="004F6B2F" w:rsidRPr="00452148">
        <w:rPr>
          <w:rFonts w:asciiTheme="minorHAnsi" w:hAnsiTheme="minorHAnsi"/>
          <w:sz w:val="22"/>
          <w:szCs w:val="22"/>
        </w:rPr>
        <w:t>η του Ευρωσυστήματος</w:t>
      </w:r>
      <w:r w:rsidRPr="00452148">
        <w:rPr>
          <w:rFonts w:asciiTheme="minorHAnsi" w:hAnsiTheme="minorHAnsi"/>
          <w:sz w:val="22"/>
          <w:szCs w:val="22"/>
        </w:rPr>
        <w:t xml:space="preserve"> σε αυτόν τον στόχο για τον πληθωρισμό είναι συμμετρική. Αυτό σημαίνει ότι </w:t>
      </w:r>
      <w:r w:rsidR="004F6B2F" w:rsidRPr="00452148">
        <w:rPr>
          <w:rFonts w:asciiTheme="minorHAnsi" w:hAnsiTheme="minorHAnsi"/>
          <w:sz w:val="22"/>
          <w:szCs w:val="22"/>
        </w:rPr>
        <w:t>ο</w:t>
      </w:r>
      <w:r w:rsidRPr="00452148">
        <w:rPr>
          <w:rFonts w:asciiTheme="minorHAnsi" w:hAnsiTheme="minorHAnsi"/>
          <w:sz w:val="22"/>
          <w:szCs w:val="22"/>
        </w:rPr>
        <w:t xml:space="preserve"> </w:t>
      </w:r>
      <w:r w:rsidR="00826FD3">
        <w:rPr>
          <w:rFonts w:asciiTheme="minorHAnsi" w:hAnsiTheme="minorHAnsi"/>
          <w:sz w:val="22"/>
          <w:szCs w:val="22"/>
        </w:rPr>
        <w:t>πολύ</w:t>
      </w:r>
      <w:r w:rsidRPr="00452148">
        <w:rPr>
          <w:rFonts w:asciiTheme="minorHAnsi" w:hAnsiTheme="minorHAnsi"/>
          <w:sz w:val="22"/>
          <w:szCs w:val="22"/>
        </w:rPr>
        <w:t xml:space="preserve"> χαμηλό</w:t>
      </w:r>
      <w:r w:rsidR="004F6B2F" w:rsidRPr="00452148">
        <w:rPr>
          <w:rFonts w:asciiTheme="minorHAnsi" w:hAnsiTheme="minorHAnsi"/>
          <w:sz w:val="22"/>
          <w:szCs w:val="22"/>
        </w:rPr>
        <w:t>ς</w:t>
      </w:r>
      <w:r w:rsidRPr="00452148">
        <w:rPr>
          <w:rFonts w:asciiTheme="minorHAnsi" w:hAnsiTheme="minorHAnsi"/>
          <w:sz w:val="22"/>
          <w:szCs w:val="22"/>
        </w:rPr>
        <w:t xml:space="preserve"> πληθωρισμό</w:t>
      </w:r>
      <w:r w:rsidR="004F6B2F" w:rsidRPr="00452148">
        <w:rPr>
          <w:rFonts w:asciiTheme="minorHAnsi" w:hAnsiTheme="minorHAnsi"/>
          <w:sz w:val="22"/>
          <w:szCs w:val="22"/>
        </w:rPr>
        <w:t>ς θεωρείται</w:t>
      </w:r>
      <w:r w:rsidRPr="00452148">
        <w:rPr>
          <w:rFonts w:asciiTheme="minorHAnsi" w:hAnsiTheme="minorHAnsi"/>
          <w:sz w:val="22"/>
          <w:szCs w:val="22"/>
        </w:rPr>
        <w:t xml:space="preserve"> εξίσου </w:t>
      </w:r>
      <w:r w:rsidR="004F6B2F" w:rsidRPr="00452148">
        <w:rPr>
          <w:rFonts w:asciiTheme="minorHAnsi" w:hAnsiTheme="minorHAnsi"/>
          <w:sz w:val="22"/>
          <w:szCs w:val="22"/>
        </w:rPr>
        <w:t xml:space="preserve">ανεπιθύμητος </w:t>
      </w:r>
      <w:r w:rsidRPr="00452148">
        <w:rPr>
          <w:rFonts w:asciiTheme="minorHAnsi" w:hAnsiTheme="minorHAnsi"/>
          <w:sz w:val="22"/>
          <w:szCs w:val="22"/>
        </w:rPr>
        <w:t xml:space="preserve">με τον </w:t>
      </w:r>
      <w:r w:rsidR="00826FD3">
        <w:rPr>
          <w:rFonts w:asciiTheme="minorHAnsi" w:hAnsiTheme="minorHAnsi"/>
          <w:sz w:val="22"/>
          <w:szCs w:val="22"/>
        </w:rPr>
        <w:t>πολύ</w:t>
      </w:r>
      <w:r w:rsidRPr="00452148">
        <w:rPr>
          <w:rFonts w:asciiTheme="minorHAnsi" w:hAnsiTheme="minorHAnsi"/>
          <w:sz w:val="22"/>
          <w:szCs w:val="22"/>
        </w:rPr>
        <w:t xml:space="preserve"> υψηλό πληθωρισμό. </w:t>
      </w:r>
    </w:p>
    <w:p w14:paraId="54D54A7D" w14:textId="77777777" w:rsidR="00143301" w:rsidRDefault="00143301" w:rsidP="00EA6501">
      <w:pPr>
        <w:jc w:val="both"/>
        <w:rPr>
          <w:rFonts w:asciiTheme="minorHAnsi" w:hAnsiTheme="minorHAnsi"/>
          <w:sz w:val="22"/>
          <w:szCs w:val="22"/>
        </w:rPr>
      </w:pPr>
    </w:p>
    <w:p w14:paraId="243E44A5" w14:textId="758A4711" w:rsidR="00EA6501" w:rsidRDefault="00673F8C" w:rsidP="00EA6501">
      <w:pPr>
        <w:jc w:val="both"/>
        <w:rPr>
          <w:rFonts w:asciiTheme="minorHAnsi" w:hAnsiTheme="minorHAnsi"/>
          <w:sz w:val="22"/>
          <w:szCs w:val="22"/>
        </w:rPr>
      </w:pPr>
      <w:r w:rsidRPr="00452148">
        <w:rPr>
          <w:rFonts w:asciiTheme="minorHAnsi" w:hAnsiTheme="minorHAnsi"/>
          <w:sz w:val="22"/>
          <w:szCs w:val="22"/>
        </w:rPr>
        <w:t>Ο</w:t>
      </w:r>
      <w:r w:rsidRPr="00452148" w:rsidDel="00B37EA2">
        <w:rPr>
          <w:rFonts w:asciiTheme="minorHAnsi" w:hAnsiTheme="minorHAnsi"/>
          <w:sz w:val="22"/>
          <w:szCs w:val="22"/>
        </w:rPr>
        <w:t xml:space="preserve"> </w:t>
      </w:r>
      <w:r w:rsidR="00B37EA2" w:rsidRPr="00452148">
        <w:rPr>
          <w:rFonts w:asciiTheme="minorHAnsi" w:hAnsiTheme="minorHAnsi"/>
          <w:sz w:val="22"/>
          <w:szCs w:val="22"/>
        </w:rPr>
        <w:t xml:space="preserve">σκοπός </w:t>
      </w:r>
      <w:r w:rsidR="00FC16A8" w:rsidRPr="00452148">
        <w:rPr>
          <w:rFonts w:asciiTheme="minorHAnsi" w:hAnsiTheme="minorHAnsi"/>
          <w:sz w:val="22"/>
          <w:szCs w:val="22"/>
        </w:rPr>
        <w:t xml:space="preserve">του Ευρωσυστήματος </w:t>
      </w:r>
      <w:r w:rsidRPr="00452148">
        <w:rPr>
          <w:rFonts w:asciiTheme="minorHAnsi" w:hAnsiTheme="minorHAnsi"/>
          <w:sz w:val="22"/>
          <w:szCs w:val="22"/>
        </w:rPr>
        <w:t>για σταθερότητα των τιμών αφορά τη ζώνη του ευρώ συνολικά</w:t>
      </w:r>
      <w:r w:rsidR="0005049D" w:rsidRPr="00452148">
        <w:rPr>
          <w:rFonts w:asciiTheme="minorHAnsi" w:hAnsiTheme="minorHAnsi"/>
          <w:sz w:val="22"/>
          <w:szCs w:val="22"/>
        </w:rPr>
        <w:t xml:space="preserve"> και</w:t>
      </w:r>
      <w:r w:rsidR="00B37EA2" w:rsidRPr="00452148">
        <w:rPr>
          <w:rFonts w:asciiTheme="minorHAnsi" w:hAnsiTheme="minorHAnsi"/>
          <w:sz w:val="22"/>
          <w:szCs w:val="22"/>
        </w:rPr>
        <w:t xml:space="preserve"> έχει</w:t>
      </w:r>
      <w:r w:rsidR="0005049D" w:rsidRPr="00452148">
        <w:rPr>
          <w:rFonts w:asciiTheme="minorHAnsi" w:hAnsiTheme="minorHAnsi"/>
          <w:sz w:val="22"/>
          <w:szCs w:val="22"/>
        </w:rPr>
        <w:t xml:space="preserve"> </w:t>
      </w:r>
      <w:r w:rsidRPr="00452148">
        <w:rPr>
          <w:rFonts w:asciiTheme="minorHAnsi" w:hAnsiTheme="minorHAnsi"/>
          <w:sz w:val="22"/>
          <w:szCs w:val="22"/>
        </w:rPr>
        <w:t>μεσοπρόθεσμη προοπτική</w:t>
      </w:r>
      <w:r w:rsidR="0005049D" w:rsidRPr="00452148">
        <w:rPr>
          <w:rFonts w:asciiTheme="minorHAnsi" w:hAnsiTheme="minorHAnsi"/>
          <w:sz w:val="22"/>
          <w:szCs w:val="22"/>
        </w:rPr>
        <w:t>. Συνεπώς</w:t>
      </w:r>
      <w:r w:rsidR="00DF215F" w:rsidRPr="00452148">
        <w:rPr>
          <w:rFonts w:asciiTheme="minorHAnsi" w:hAnsiTheme="minorHAnsi"/>
          <w:sz w:val="22"/>
          <w:szCs w:val="22"/>
        </w:rPr>
        <w:t>,</w:t>
      </w:r>
      <w:r w:rsidR="0005049D" w:rsidRPr="00452148">
        <w:rPr>
          <w:rFonts w:asciiTheme="minorHAnsi" w:hAnsiTheme="minorHAnsi"/>
          <w:sz w:val="22"/>
          <w:szCs w:val="22"/>
        </w:rPr>
        <w:t xml:space="preserve"> </w:t>
      </w:r>
      <w:r w:rsidR="0065320E" w:rsidRPr="00452148">
        <w:rPr>
          <w:rFonts w:asciiTheme="minorHAnsi" w:hAnsiTheme="minorHAnsi"/>
          <w:sz w:val="22"/>
          <w:szCs w:val="22"/>
        </w:rPr>
        <w:t>η κατάλληλη αντίδραση της νομισματικής πολιτικής σε μια απόκλιση του πληθωρισμού από τον στόχο εξαρτάται από την προέλευση, το μέγεθος και την επιμονή της απόκλισης, καθώς με την</w:t>
      </w:r>
      <w:r w:rsidR="003539E1" w:rsidRPr="00452148">
        <w:rPr>
          <w:rFonts w:asciiTheme="minorHAnsi" w:hAnsiTheme="minorHAnsi"/>
          <w:sz w:val="22"/>
          <w:szCs w:val="22"/>
        </w:rPr>
        <w:t xml:space="preserve"> </w:t>
      </w:r>
      <w:r w:rsidR="0005049D" w:rsidRPr="00452148">
        <w:rPr>
          <w:rFonts w:asciiTheme="minorHAnsi" w:hAnsiTheme="minorHAnsi"/>
          <w:sz w:val="22"/>
          <w:szCs w:val="22"/>
        </w:rPr>
        <w:t xml:space="preserve">πάροδο του </w:t>
      </w:r>
      <w:r w:rsidRPr="00452148">
        <w:rPr>
          <w:rFonts w:asciiTheme="minorHAnsi" w:hAnsiTheme="minorHAnsi"/>
          <w:sz w:val="22"/>
          <w:szCs w:val="22"/>
        </w:rPr>
        <w:t>χρόνο</w:t>
      </w:r>
      <w:r w:rsidR="0005049D" w:rsidRPr="00452148">
        <w:rPr>
          <w:rFonts w:asciiTheme="minorHAnsi" w:hAnsiTheme="minorHAnsi"/>
          <w:sz w:val="22"/>
          <w:szCs w:val="22"/>
        </w:rPr>
        <w:t>υ</w:t>
      </w:r>
      <w:r w:rsidRPr="00452148">
        <w:rPr>
          <w:rFonts w:asciiTheme="minorHAnsi" w:hAnsiTheme="minorHAnsi"/>
          <w:sz w:val="22"/>
          <w:szCs w:val="22"/>
        </w:rPr>
        <w:t xml:space="preserve"> </w:t>
      </w:r>
      <w:r w:rsidR="00DF215F" w:rsidRPr="00452148">
        <w:rPr>
          <w:rFonts w:asciiTheme="minorHAnsi" w:hAnsiTheme="minorHAnsi"/>
          <w:sz w:val="22"/>
          <w:szCs w:val="22"/>
        </w:rPr>
        <w:t>οι βραχυπρόθεσμες και περιορισμένες αποκλίσεις</w:t>
      </w:r>
      <w:r w:rsidRPr="00452148">
        <w:rPr>
          <w:rFonts w:asciiTheme="minorHAnsi" w:hAnsiTheme="minorHAnsi"/>
          <w:sz w:val="22"/>
          <w:szCs w:val="22"/>
        </w:rPr>
        <w:t xml:space="preserve"> </w:t>
      </w:r>
      <w:r w:rsidR="0005049D" w:rsidRPr="00452148">
        <w:rPr>
          <w:rFonts w:asciiTheme="minorHAnsi" w:hAnsiTheme="minorHAnsi"/>
          <w:sz w:val="22"/>
          <w:szCs w:val="22"/>
        </w:rPr>
        <w:t>εξισορροπούνται</w:t>
      </w:r>
      <w:r w:rsidRPr="00452148">
        <w:rPr>
          <w:rFonts w:asciiTheme="minorHAnsi" w:hAnsiTheme="minorHAnsi"/>
          <w:sz w:val="22"/>
          <w:szCs w:val="22"/>
        </w:rPr>
        <w:t>.</w:t>
      </w:r>
    </w:p>
    <w:p w14:paraId="14DDEBCF" w14:textId="77777777" w:rsidR="00EA6501" w:rsidRPr="0061075B" w:rsidRDefault="00EA6501" w:rsidP="00EA6501">
      <w:pPr>
        <w:pBdr>
          <w:bottom w:val="single" w:sz="4" w:space="1" w:color="C5D4EC"/>
        </w:pBdr>
        <w:spacing w:before="160" w:after="160"/>
        <w:rPr>
          <w:rFonts w:asciiTheme="minorHAnsi" w:hAnsiTheme="minorHAnsi"/>
          <w:sz w:val="10"/>
          <w:szCs w:val="10"/>
        </w:rPr>
      </w:pPr>
    </w:p>
    <w:p w14:paraId="4FA276D1" w14:textId="1294852D" w:rsidR="000B2252" w:rsidRDefault="00DE6327" w:rsidP="00DE6327">
      <w:pPr>
        <w:spacing w:before="280" w:after="120"/>
        <w:rPr>
          <w:rFonts w:asciiTheme="minorHAnsi" w:hAnsiTheme="minorHAnsi"/>
          <w:b/>
          <w:bCs/>
          <w:color w:val="003087"/>
          <w:sz w:val="28"/>
          <w:szCs w:val="28"/>
        </w:rPr>
      </w:pPr>
      <w:r w:rsidRPr="00DE6327">
        <w:rPr>
          <w:rFonts w:asciiTheme="minorHAnsi" w:hAnsiTheme="minorHAnsi"/>
          <w:b/>
          <w:bCs/>
          <w:color w:val="003087"/>
          <w:sz w:val="28"/>
          <w:szCs w:val="28"/>
        </w:rPr>
        <w:t xml:space="preserve">5. </w:t>
      </w:r>
      <w:r w:rsidR="003539E1">
        <w:rPr>
          <w:rFonts w:asciiTheme="minorHAnsi" w:hAnsiTheme="minorHAnsi"/>
          <w:b/>
          <w:bCs/>
          <w:color w:val="003087"/>
          <w:sz w:val="28"/>
          <w:szCs w:val="28"/>
        </w:rPr>
        <w:t>Τι είναι ο π</w:t>
      </w:r>
      <w:r w:rsidRPr="00DE6327">
        <w:rPr>
          <w:rFonts w:asciiTheme="minorHAnsi" w:hAnsiTheme="minorHAnsi"/>
          <w:b/>
          <w:bCs/>
          <w:color w:val="003087"/>
          <w:sz w:val="28"/>
          <w:szCs w:val="28"/>
        </w:rPr>
        <w:t>ληθωρισμός</w:t>
      </w:r>
      <w:r w:rsidR="003539E1">
        <w:rPr>
          <w:rFonts w:asciiTheme="minorHAnsi" w:hAnsiTheme="minorHAnsi"/>
          <w:b/>
          <w:bCs/>
          <w:color w:val="003087"/>
          <w:sz w:val="28"/>
          <w:szCs w:val="28"/>
        </w:rPr>
        <w:t>;</w:t>
      </w:r>
    </w:p>
    <w:p w14:paraId="06CBE0AD" w14:textId="528E59A0" w:rsidR="000914BD" w:rsidRPr="00452148" w:rsidRDefault="00911180" w:rsidP="00993B5D">
      <w:pPr>
        <w:spacing w:before="60" w:afterLines="60" w:after="144"/>
        <w:jc w:val="both"/>
        <w:rPr>
          <w:rFonts w:asciiTheme="minorHAnsi" w:hAnsiTheme="minorHAnsi"/>
          <w:sz w:val="22"/>
          <w:szCs w:val="22"/>
        </w:rPr>
      </w:pPr>
      <w:r w:rsidRPr="00452148">
        <w:rPr>
          <w:rFonts w:asciiTheme="minorHAnsi" w:hAnsiTheme="minorHAnsi"/>
          <w:sz w:val="22"/>
          <w:szCs w:val="22"/>
        </w:rPr>
        <w:t xml:space="preserve">Ο πληθωρισμός δείχνει πώς μεταβάλλεται το γενικό επίπεδο των τιμών στην οικονομία. </w:t>
      </w:r>
      <w:r w:rsidR="000914BD" w:rsidRPr="00452148">
        <w:rPr>
          <w:rFonts w:asciiTheme="minorHAnsi" w:hAnsiTheme="minorHAnsi"/>
          <w:sz w:val="22"/>
          <w:szCs w:val="22"/>
        </w:rPr>
        <w:t xml:space="preserve">Πληθωρισμός εμφανίζεται όταν υπάρχει γενικευμένη αύξηση των τιμών των αγαθών και των υπηρεσιών, και όχι μόνο συγκεκριμένων προϊόντων ή υπηρεσιών. </w:t>
      </w:r>
    </w:p>
    <w:p w14:paraId="4305F3E5" w14:textId="02CBF3EE" w:rsidR="008F19E4" w:rsidRPr="00452148" w:rsidRDefault="00911180" w:rsidP="00993B5D">
      <w:pPr>
        <w:pStyle w:val="ListParagraph"/>
        <w:numPr>
          <w:ilvl w:val="0"/>
          <w:numId w:val="7"/>
        </w:numPr>
        <w:spacing w:before="60" w:afterLines="60" w:after="144"/>
        <w:jc w:val="both"/>
        <w:rPr>
          <w:rFonts w:asciiTheme="minorHAnsi" w:hAnsiTheme="minorHAnsi"/>
          <w:sz w:val="22"/>
          <w:szCs w:val="22"/>
        </w:rPr>
      </w:pPr>
      <w:r w:rsidRPr="00452148">
        <w:rPr>
          <w:rFonts w:asciiTheme="minorHAnsi" w:hAnsiTheme="minorHAnsi"/>
          <w:sz w:val="22"/>
          <w:szCs w:val="22"/>
        </w:rPr>
        <w:t xml:space="preserve">Ο ρυθμός πληθωρισμού, ή αλλιώς ο ρυθμός αύξησης των τιμών, ορίζεται ως η ποσοστιαία μεταβολή του γενικού επιπέδου τιμών μεταξύ δύο χρονικών σημείων. </w:t>
      </w:r>
      <w:r w:rsidR="008F19E4" w:rsidRPr="00452148">
        <w:rPr>
          <w:rFonts w:asciiTheme="minorHAnsi" w:hAnsiTheme="minorHAnsi"/>
          <w:sz w:val="22"/>
          <w:szCs w:val="22"/>
        </w:rPr>
        <w:t>Συνήθως η μεταβολή υπολογίζεται σε ετήσια βάση, δηλαδή σε σύγκριση με την ίδια περίοδο του προηγούμενου έτους.</w:t>
      </w:r>
      <w:r w:rsidR="008E268A" w:rsidRPr="00452148">
        <w:rPr>
          <w:rFonts w:asciiTheme="minorHAnsi" w:hAnsiTheme="minorHAnsi"/>
          <w:sz w:val="22"/>
          <w:szCs w:val="22"/>
        </w:rPr>
        <w:t xml:space="preserve"> </w:t>
      </w:r>
    </w:p>
    <w:p w14:paraId="1B189BE8" w14:textId="77777777" w:rsidR="00C15FBC" w:rsidRPr="00452148" w:rsidRDefault="00C15FBC" w:rsidP="00993B5D">
      <w:pPr>
        <w:pStyle w:val="ListParagraph"/>
        <w:numPr>
          <w:ilvl w:val="0"/>
          <w:numId w:val="7"/>
        </w:numPr>
        <w:spacing w:before="60" w:afterLines="60" w:after="144"/>
        <w:jc w:val="both"/>
        <w:rPr>
          <w:rFonts w:asciiTheme="minorHAnsi" w:hAnsiTheme="minorHAnsi"/>
          <w:sz w:val="22"/>
          <w:szCs w:val="22"/>
        </w:rPr>
      </w:pPr>
      <w:r w:rsidRPr="00452148">
        <w:rPr>
          <w:rFonts w:asciiTheme="minorHAnsi" w:hAnsiTheme="minorHAnsi"/>
          <w:sz w:val="22"/>
          <w:szCs w:val="22"/>
        </w:rPr>
        <w:t xml:space="preserve">Για παράδειγμα, ο πληθωρισμός στην Ελλάδα το Δεκέμβριο του 2025 ήταν 2,9%. Αυτό σημαίνει ότι το γενικό επίπεδο τιμών τον Δεκέμβριο του 2025 ήταν 2,9% υψηλότερο σε σύγκριση με τον Δεκέμβριο του 2024. Τον ίδιο μήνα, ο πληθωρισμός στην ευρωζώνη ήταν 2%. </w:t>
      </w:r>
    </w:p>
    <w:p w14:paraId="29C17875" w14:textId="0DDCF3BC" w:rsidR="000B2252" w:rsidRPr="00452148" w:rsidRDefault="00DF48EE" w:rsidP="00993B5D">
      <w:pPr>
        <w:pStyle w:val="ListParagraph"/>
        <w:numPr>
          <w:ilvl w:val="0"/>
          <w:numId w:val="7"/>
        </w:numPr>
        <w:spacing w:before="60" w:afterLines="60" w:after="144"/>
        <w:jc w:val="both"/>
        <w:rPr>
          <w:rFonts w:asciiTheme="minorHAnsi" w:hAnsiTheme="minorHAnsi"/>
          <w:sz w:val="22"/>
          <w:szCs w:val="22"/>
        </w:rPr>
      </w:pPr>
      <w:r w:rsidRPr="00452148">
        <w:rPr>
          <w:rFonts w:asciiTheme="minorHAnsi" w:hAnsiTheme="minorHAnsi"/>
          <w:sz w:val="22"/>
          <w:szCs w:val="22"/>
        </w:rPr>
        <w:t>Για τον υπολογισμό του</w:t>
      </w:r>
      <w:r w:rsidR="00471272" w:rsidRPr="00452148">
        <w:rPr>
          <w:rFonts w:asciiTheme="minorHAnsi" w:hAnsiTheme="minorHAnsi"/>
          <w:sz w:val="22"/>
          <w:szCs w:val="22"/>
        </w:rPr>
        <w:t xml:space="preserve"> πληθωρισμού</w:t>
      </w:r>
      <w:r w:rsidRPr="00452148">
        <w:rPr>
          <w:rFonts w:asciiTheme="minorHAnsi" w:hAnsiTheme="minorHAnsi"/>
          <w:sz w:val="22"/>
          <w:szCs w:val="22"/>
        </w:rPr>
        <w:t>, οι εθνικές στατιστικές αρχές</w:t>
      </w:r>
      <w:r w:rsidR="001E64D2" w:rsidRPr="00452148">
        <w:rPr>
          <w:rFonts w:asciiTheme="minorHAnsi" w:hAnsiTheme="minorHAnsi"/>
          <w:sz w:val="22"/>
          <w:szCs w:val="22"/>
        </w:rPr>
        <w:t xml:space="preserve"> (στην Ελλάδα η Ελληνική Στατιστική Αρχή, ΕΛΣΤΑΤ) </w:t>
      </w:r>
      <w:r w:rsidRPr="00452148">
        <w:rPr>
          <w:rFonts w:asciiTheme="minorHAnsi" w:hAnsiTheme="minorHAnsi"/>
          <w:sz w:val="22"/>
          <w:szCs w:val="22"/>
        </w:rPr>
        <w:t>συλλέγουν τακτικά τιμές για ένα «καλάθι» αγαθών και υπηρεσιών</w:t>
      </w:r>
      <w:r w:rsidR="00E27718" w:rsidRPr="00452148">
        <w:rPr>
          <w:rFonts w:asciiTheme="minorHAnsi" w:hAnsiTheme="minorHAnsi"/>
          <w:sz w:val="22"/>
          <w:szCs w:val="22"/>
        </w:rPr>
        <w:t xml:space="preserve">. Το καλάθι αυτό </w:t>
      </w:r>
      <w:r w:rsidRPr="00452148">
        <w:rPr>
          <w:rFonts w:asciiTheme="minorHAnsi" w:hAnsiTheme="minorHAnsi"/>
          <w:sz w:val="22"/>
          <w:szCs w:val="22"/>
        </w:rPr>
        <w:t xml:space="preserve">αντιπροσωπεύει την κατανάλωση των νοικοκυριών </w:t>
      </w:r>
      <w:r w:rsidR="001E64D2" w:rsidRPr="00452148">
        <w:rPr>
          <w:rFonts w:asciiTheme="minorHAnsi" w:hAnsiTheme="minorHAnsi"/>
          <w:sz w:val="22"/>
          <w:szCs w:val="22"/>
        </w:rPr>
        <w:t>στη χώρα</w:t>
      </w:r>
      <w:r w:rsidR="00524084" w:rsidRPr="00452148">
        <w:rPr>
          <w:rFonts w:asciiTheme="minorHAnsi" w:hAnsiTheme="minorHAnsi"/>
          <w:sz w:val="22"/>
          <w:szCs w:val="22"/>
        </w:rPr>
        <w:t xml:space="preserve">. </w:t>
      </w:r>
      <w:r w:rsidRPr="00452148">
        <w:rPr>
          <w:rFonts w:asciiTheme="minorHAnsi" w:hAnsiTheme="minorHAnsi"/>
          <w:sz w:val="22"/>
          <w:szCs w:val="22"/>
        </w:rPr>
        <w:t xml:space="preserve">Στη συνέχεια, τα εθνικά αυτά στοιχεία συγκεντρώνονται </w:t>
      </w:r>
      <w:r w:rsidR="00777C83" w:rsidRPr="00452148">
        <w:rPr>
          <w:rFonts w:asciiTheme="minorHAnsi" w:hAnsiTheme="minorHAnsi"/>
          <w:sz w:val="22"/>
          <w:szCs w:val="22"/>
        </w:rPr>
        <w:t xml:space="preserve">από τη EUROSTAT </w:t>
      </w:r>
      <w:r w:rsidRPr="00452148">
        <w:rPr>
          <w:rFonts w:asciiTheme="minorHAnsi" w:hAnsiTheme="minorHAnsi"/>
          <w:sz w:val="22"/>
          <w:szCs w:val="22"/>
        </w:rPr>
        <w:t xml:space="preserve">και χρησιμοποιούνται για τον υπολογισμό του πληθωρισμού στη ζώνη του ευρώ. </w:t>
      </w:r>
    </w:p>
    <w:p w14:paraId="14642842" w14:textId="4FF31D73" w:rsidR="00363C6A" w:rsidRPr="00452148" w:rsidRDefault="00DE6327" w:rsidP="00993B5D">
      <w:pPr>
        <w:pStyle w:val="ListParagraph"/>
        <w:numPr>
          <w:ilvl w:val="0"/>
          <w:numId w:val="7"/>
        </w:numPr>
        <w:spacing w:before="60" w:afterLines="60" w:after="144"/>
        <w:jc w:val="both"/>
        <w:rPr>
          <w:rFonts w:asciiTheme="minorHAnsi" w:hAnsiTheme="minorHAnsi"/>
          <w:sz w:val="22"/>
          <w:szCs w:val="22"/>
        </w:rPr>
      </w:pPr>
      <w:r w:rsidRPr="00452148">
        <w:rPr>
          <w:rFonts w:asciiTheme="minorHAnsi" w:hAnsiTheme="minorHAnsi"/>
          <w:sz w:val="22"/>
          <w:szCs w:val="22"/>
        </w:rPr>
        <w:t>Στον υπολογισμό αυτό, μεγαλύτερη βαρύτητα δίνεται στις τιμές των αγαθών και υπηρεσιών στα οποία τα νοικοκυριά δαπανούν μεγαλύτερο μέρος του εισοδήματός τους, όπως για παράδειγμα το ηλεκτρικό ρεύμα. Αντίθετα, μικρότερη βαρύτητα δίνεται σε προϊόντα για τα οποία δαπανάται μικρότερο ποσό, όπως για παράδειγμα η ζάχαρη.</w:t>
      </w:r>
    </w:p>
    <w:p w14:paraId="245D3C04" w14:textId="77777777" w:rsidR="006224F8" w:rsidRDefault="006224F8" w:rsidP="00363C6A">
      <w:pPr>
        <w:rPr>
          <w:rFonts w:asciiTheme="minorHAnsi" w:hAnsiTheme="minorHAnsi"/>
        </w:rPr>
      </w:pPr>
    </w:p>
    <w:p w14:paraId="1170B5BF" w14:textId="77777777" w:rsidR="006224F8" w:rsidRDefault="006224F8" w:rsidP="00363C6A">
      <w:pPr>
        <w:rPr>
          <w:rFonts w:asciiTheme="minorHAnsi" w:hAnsiTheme="minorHAnsi"/>
        </w:rPr>
      </w:pPr>
    </w:p>
    <w:p w14:paraId="5E153AE1" w14:textId="77777777" w:rsidR="0061075B" w:rsidRDefault="0061075B" w:rsidP="00363C6A">
      <w:pPr>
        <w:rPr>
          <w:rFonts w:asciiTheme="minorHAnsi" w:hAnsiTheme="minorHAnsi"/>
        </w:rPr>
      </w:pPr>
    </w:p>
    <w:p w14:paraId="34DC78C4" w14:textId="77777777" w:rsidR="0061075B" w:rsidRDefault="0061075B" w:rsidP="00363C6A">
      <w:pPr>
        <w:rPr>
          <w:rFonts w:asciiTheme="minorHAnsi" w:hAnsiTheme="minorHAnsi"/>
        </w:rPr>
      </w:pPr>
    </w:p>
    <w:p w14:paraId="0B1A69D8" w14:textId="77777777" w:rsidR="0061075B" w:rsidRDefault="0061075B" w:rsidP="00363C6A">
      <w:pPr>
        <w:rPr>
          <w:rFonts w:asciiTheme="minorHAnsi" w:hAnsiTheme="minorHAnsi"/>
        </w:rPr>
      </w:pPr>
    </w:p>
    <w:p w14:paraId="3AFB60B4" w14:textId="77777777" w:rsidR="0061075B" w:rsidRDefault="0061075B" w:rsidP="00363C6A">
      <w:pPr>
        <w:rPr>
          <w:rFonts w:asciiTheme="minorHAnsi" w:hAnsiTheme="minorHAnsi"/>
        </w:rPr>
      </w:pPr>
    </w:p>
    <w:p w14:paraId="68DE1BEE" w14:textId="77777777" w:rsidR="0061075B" w:rsidRDefault="0061075B" w:rsidP="00363C6A">
      <w:pPr>
        <w:rPr>
          <w:rFonts w:asciiTheme="minorHAnsi" w:hAnsiTheme="minorHAnsi"/>
        </w:rPr>
      </w:pPr>
    </w:p>
    <w:p w14:paraId="25F5B363" w14:textId="77777777" w:rsidR="0061075B" w:rsidRDefault="0061075B" w:rsidP="00363C6A">
      <w:pPr>
        <w:rPr>
          <w:rFonts w:asciiTheme="minorHAnsi" w:hAnsiTheme="minorHAnsi"/>
        </w:rPr>
      </w:pPr>
    </w:p>
    <w:p w14:paraId="54A93C5A" w14:textId="426F915F" w:rsidR="006224F8" w:rsidRPr="005E183C" w:rsidRDefault="006224F8" w:rsidP="006224F8">
      <w:pPr>
        <w:rPr>
          <w:rFonts w:asciiTheme="minorHAnsi" w:hAnsiTheme="minorHAnsi"/>
          <w:b/>
          <w:bCs/>
        </w:rPr>
      </w:pPr>
      <w:r w:rsidRPr="005E183C">
        <w:rPr>
          <w:rFonts w:asciiTheme="minorHAnsi" w:hAnsiTheme="minorHAnsi"/>
          <w:b/>
          <w:bCs/>
        </w:rPr>
        <w:lastRenderedPageBreak/>
        <w:t>Διάγραμμα 1: Πληθωρισμός στην Ελλάδα και στη ζώνη του ευρώ  (ποσοστό</w:t>
      </w:r>
      <w:r w:rsidR="004D2194" w:rsidRPr="005E183C">
        <w:rPr>
          <w:rFonts w:asciiTheme="minorHAnsi" w:hAnsiTheme="minorHAnsi"/>
          <w:b/>
          <w:bCs/>
        </w:rPr>
        <w:t xml:space="preserve">, </w:t>
      </w:r>
      <w:r w:rsidRPr="005E183C">
        <w:rPr>
          <w:rFonts w:asciiTheme="minorHAnsi" w:hAnsiTheme="minorHAnsi"/>
          <w:b/>
          <w:bCs/>
        </w:rPr>
        <w:t>μηνιαία στοιχεία)</w:t>
      </w:r>
    </w:p>
    <w:p w14:paraId="720E168B" w14:textId="77777777" w:rsidR="00EF2F72" w:rsidRPr="005C1969" w:rsidRDefault="00EF2F72" w:rsidP="00EF2F72">
      <w:pPr>
        <w:pStyle w:val="ListParagraph"/>
        <w:ind w:left="720"/>
        <w:jc w:val="both"/>
        <w:rPr>
          <w:rFonts w:asciiTheme="minorHAnsi" w:hAnsiTheme="minorHAnsi"/>
        </w:rPr>
      </w:pPr>
    </w:p>
    <w:p w14:paraId="2F3859FA" w14:textId="4FE0DEFC" w:rsidR="00986498" w:rsidRPr="00E50162" w:rsidRDefault="00F12F64" w:rsidP="00363C6A">
      <w:pPr>
        <w:rPr>
          <w:rFonts w:asciiTheme="minorHAnsi" w:hAnsiTheme="minorHAnsi"/>
        </w:rPr>
      </w:pPr>
      <w:r>
        <w:rPr>
          <w:noProof/>
        </w:rPr>
        <w:drawing>
          <wp:inline distT="0" distB="0" distL="0" distR="0" wp14:anchorId="00D73B39" wp14:editId="56B4859A">
            <wp:extent cx="6188710" cy="3098165"/>
            <wp:effectExtent l="0" t="0" r="2540" b="6985"/>
            <wp:docPr id="1578643183" name="Chart 1">
              <a:extLst xmlns:a="http://schemas.openxmlformats.org/drawingml/2006/main">
                <a:ext uri="{FF2B5EF4-FFF2-40B4-BE49-F238E27FC236}">
                  <a16:creationId xmlns:a16="http://schemas.microsoft.com/office/drawing/2014/main" id="{CB74A084-FD88-42C1-9430-0E3B36CA4E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976BE36" w14:textId="77777777" w:rsidR="00C15FBC" w:rsidRDefault="00C15FBC" w:rsidP="00741949">
      <w:pPr>
        <w:jc w:val="both"/>
        <w:rPr>
          <w:rFonts w:asciiTheme="minorHAnsi" w:hAnsiTheme="minorHAnsi"/>
        </w:rPr>
      </w:pPr>
    </w:p>
    <w:p w14:paraId="085EC4B2" w14:textId="71266C05" w:rsidR="00AE2A2C" w:rsidRPr="005E183C" w:rsidRDefault="00AE2A2C" w:rsidP="005E183C">
      <w:pPr>
        <w:spacing w:line="216" w:lineRule="auto"/>
        <w:jc w:val="both"/>
        <w:rPr>
          <w:rFonts w:asciiTheme="minorHAnsi" w:hAnsiTheme="minorHAnsi"/>
          <w:i/>
          <w:iCs/>
        </w:rPr>
      </w:pPr>
      <w:r w:rsidRPr="005E183C">
        <w:rPr>
          <w:rFonts w:asciiTheme="minorHAnsi" w:hAnsiTheme="minorHAnsi"/>
          <w:i/>
          <w:iCs/>
        </w:rPr>
        <w:t>Πηγ</w:t>
      </w:r>
      <w:r w:rsidR="00741949" w:rsidRPr="005E183C">
        <w:rPr>
          <w:rFonts w:asciiTheme="minorHAnsi" w:hAnsiTheme="minorHAnsi"/>
          <w:i/>
          <w:iCs/>
        </w:rPr>
        <w:t>ή</w:t>
      </w:r>
      <w:r w:rsidRPr="005E183C">
        <w:rPr>
          <w:rFonts w:asciiTheme="minorHAnsi" w:hAnsiTheme="minorHAnsi"/>
          <w:i/>
          <w:iCs/>
        </w:rPr>
        <w:t xml:space="preserve">: </w:t>
      </w:r>
      <w:r w:rsidR="00EB0A93" w:rsidRPr="005E183C">
        <w:rPr>
          <w:rFonts w:asciiTheme="minorHAnsi" w:hAnsiTheme="minorHAnsi"/>
          <w:i/>
          <w:iCs/>
          <w:lang w:val="en-US"/>
        </w:rPr>
        <w:t>Eurostat</w:t>
      </w:r>
      <w:r w:rsidR="00EB0A93" w:rsidRPr="005E183C">
        <w:rPr>
          <w:rFonts w:asciiTheme="minorHAnsi" w:hAnsiTheme="minorHAnsi"/>
          <w:i/>
          <w:iCs/>
        </w:rPr>
        <w:t>. Τα στοιχεία αφορούν τον ετήσιο ρυθμό μεταβολής του Εναρμονισμένου Δείκτη Τιμών Καταναλωτή για την Ελλάδα και τη</w:t>
      </w:r>
      <w:r w:rsidR="00741949" w:rsidRPr="005E183C">
        <w:rPr>
          <w:rFonts w:asciiTheme="minorHAnsi" w:hAnsiTheme="minorHAnsi"/>
          <w:i/>
          <w:iCs/>
        </w:rPr>
        <w:t xml:space="preserve"> ζώνη του ευρώ</w:t>
      </w:r>
      <w:r w:rsidR="00EB0A93" w:rsidRPr="005E183C">
        <w:rPr>
          <w:rFonts w:asciiTheme="minorHAnsi" w:hAnsiTheme="minorHAnsi"/>
          <w:i/>
          <w:iCs/>
        </w:rPr>
        <w:t>, σε μηνιαία συχνότητα</w:t>
      </w:r>
      <w:r w:rsidR="00FF7B32" w:rsidRPr="005E183C">
        <w:rPr>
          <w:rFonts w:asciiTheme="minorHAnsi" w:hAnsiTheme="minorHAnsi"/>
          <w:i/>
          <w:iCs/>
        </w:rPr>
        <w:t xml:space="preserve"> για την περίοδο: Ιανουάριος 2000 έως </w:t>
      </w:r>
      <w:r w:rsidR="00B1399D" w:rsidRPr="005E183C">
        <w:rPr>
          <w:rFonts w:asciiTheme="minorHAnsi" w:hAnsiTheme="minorHAnsi"/>
          <w:i/>
          <w:iCs/>
        </w:rPr>
        <w:t>Μάρτιος</w:t>
      </w:r>
      <w:r w:rsidR="00FF7B32" w:rsidRPr="005E183C">
        <w:rPr>
          <w:rFonts w:asciiTheme="minorHAnsi" w:hAnsiTheme="minorHAnsi"/>
          <w:i/>
          <w:iCs/>
        </w:rPr>
        <w:t xml:space="preserve"> 2026</w:t>
      </w:r>
      <w:r w:rsidR="00EB0A93" w:rsidRPr="005E183C">
        <w:rPr>
          <w:rFonts w:asciiTheme="minorHAnsi" w:hAnsiTheme="minorHAnsi"/>
          <w:i/>
          <w:iCs/>
        </w:rPr>
        <w:t>.</w:t>
      </w:r>
    </w:p>
    <w:p w14:paraId="209A63D4" w14:textId="77777777" w:rsidR="00BD482C" w:rsidRPr="002C496C" w:rsidRDefault="00BD482C" w:rsidP="0090554E">
      <w:pPr>
        <w:spacing w:before="120" w:after="120"/>
        <w:rPr>
          <w:rFonts w:asciiTheme="minorHAnsi" w:hAnsiTheme="minorHAnsi"/>
        </w:rPr>
      </w:pPr>
    </w:p>
    <w:p w14:paraId="58562858" w14:textId="7626C8DD" w:rsidR="00005E0F" w:rsidRPr="005C1969" w:rsidRDefault="004A1897" w:rsidP="00C107CB">
      <w:pPr>
        <w:spacing w:before="120" w:after="120"/>
        <w:ind w:left="567" w:hanging="141"/>
        <w:rPr>
          <w:rFonts w:asciiTheme="minorHAnsi" w:eastAsia="Times New Roman" w:hAnsiTheme="minorHAnsi" w:cs="Segoe UI"/>
          <w:sz w:val="18"/>
          <w:szCs w:val="18"/>
        </w:rPr>
      </w:pPr>
      <w:r w:rsidRPr="005C1969">
        <w:rPr>
          <w:rFonts w:asciiTheme="minorHAnsi" w:hAnsiTheme="minorHAnsi"/>
          <w:noProof/>
        </w:rPr>
        <mc:AlternateContent>
          <mc:Choice Requires="wps">
            <w:drawing>
              <wp:anchor distT="0" distB="0" distL="114300" distR="114300" simplePos="0" relativeHeight="251658240" behindDoc="1" locked="0" layoutInCell="1" allowOverlap="1" wp14:anchorId="1AC198AB" wp14:editId="477914B0">
                <wp:simplePos x="0" y="0"/>
                <wp:positionH relativeFrom="margin">
                  <wp:posOffset>319116</wp:posOffset>
                </wp:positionH>
                <wp:positionV relativeFrom="paragraph">
                  <wp:posOffset>12931</wp:posOffset>
                </wp:positionV>
                <wp:extent cx="2782570" cy="3248025"/>
                <wp:effectExtent l="0" t="0" r="17780" b="28575"/>
                <wp:wrapTight wrapText="bothSides">
                  <wp:wrapPolygon edited="0">
                    <wp:start x="0" y="0"/>
                    <wp:lineTo x="0" y="21663"/>
                    <wp:lineTo x="21590" y="21663"/>
                    <wp:lineTo x="21590" y="0"/>
                    <wp:lineTo x="0" y="0"/>
                  </wp:wrapPolygon>
                </wp:wrapTight>
                <wp:docPr id="11876219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2570" cy="3248025"/>
                        </a:xfrm>
                        <a:prstGeom prst="rect">
                          <a:avLst/>
                        </a:prstGeom>
                        <a:solidFill>
                          <a:srgbClr val="FFFFFF"/>
                        </a:solidFill>
                        <a:ln w="9525">
                          <a:solidFill>
                            <a:schemeClr val="tx2">
                              <a:lumMod val="50000"/>
                              <a:lumOff val="50000"/>
                            </a:schemeClr>
                          </a:solidFill>
                          <a:miter lim="800000"/>
                          <a:headEnd/>
                          <a:tailEnd/>
                        </a:ln>
                      </wps:spPr>
                      <wps:txbx>
                        <w:txbxContent>
                          <w:p w14:paraId="03C2F7E1" w14:textId="41B278D3" w:rsidR="00C95111" w:rsidRPr="00BA1CFF" w:rsidRDefault="00FD7FE9" w:rsidP="00EA6501">
                            <w:pPr>
                              <w:pStyle w:val="ListParagraph"/>
                              <w:numPr>
                                <w:ilvl w:val="0"/>
                                <w:numId w:val="8"/>
                              </w:numPr>
                              <w:spacing w:before="160" w:after="160"/>
                              <w:rPr>
                                <w:rFonts w:asciiTheme="majorHAnsi" w:hAnsiTheme="majorHAnsi"/>
                                <w:sz w:val="22"/>
                                <w:szCs w:val="22"/>
                              </w:rPr>
                            </w:pPr>
                            <w:r w:rsidRPr="00BA1CFF">
                              <w:rPr>
                                <w:rFonts w:asciiTheme="majorHAnsi" w:hAnsiTheme="majorHAnsi"/>
                                <w:sz w:val="22"/>
                                <w:szCs w:val="22"/>
                              </w:rPr>
                              <w:t>Πληθωρισμός εμφανίζεται όταν υπ</w:t>
                            </w:r>
                            <w:r w:rsidR="00611013" w:rsidRPr="00BA1CFF">
                              <w:rPr>
                                <w:rFonts w:asciiTheme="majorHAnsi" w:hAnsiTheme="majorHAnsi"/>
                                <w:sz w:val="22"/>
                                <w:szCs w:val="22"/>
                              </w:rPr>
                              <w:t>ά</w:t>
                            </w:r>
                            <w:r w:rsidRPr="00BA1CFF">
                              <w:rPr>
                                <w:rFonts w:asciiTheme="majorHAnsi" w:hAnsiTheme="majorHAnsi"/>
                                <w:sz w:val="22"/>
                                <w:szCs w:val="22"/>
                              </w:rPr>
                              <w:t>ρχει συνεχής γενικευμένη αύξηση των τιμών</w:t>
                            </w:r>
                            <w:r w:rsidR="000B2252" w:rsidRPr="00BA1CFF">
                              <w:rPr>
                                <w:rFonts w:asciiTheme="majorHAnsi" w:hAnsiTheme="majorHAnsi"/>
                                <w:sz w:val="22"/>
                                <w:szCs w:val="22"/>
                              </w:rPr>
                              <w:t xml:space="preserve">, </w:t>
                            </w:r>
                            <w:r w:rsidRPr="00BA1CFF">
                              <w:rPr>
                                <w:rFonts w:asciiTheme="majorHAnsi" w:hAnsiTheme="majorHAnsi"/>
                                <w:sz w:val="22"/>
                                <w:szCs w:val="22"/>
                              </w:rPr>
                              <w:t>και όχι μόνο</w:t>
                            </w:r>
                            <w:r w:rsidR="000B2252" w:rsidRPr="00BA1CFF">
                              <w:rPr>
                                <w:rFonts w:asciiTheme="majorHAnsi" w:hAnsiTheme="majorHAnsi"/>
                                <w:sz w:val="22"/>
                                <w:szCs w:val="22"/>
                              </w:rPr>
                              <w:t xml:space="preserve"> αύξηση </w:t>
                            </w:r>
                            <w:r w:rsidRPr="00BA1CFF">
                              <w:rPr>
                                <w:rFonts w:asciiTheme="majorHAnsi" w:hAnsiTheme="majorHAnsi"/>
                                <w:sz w:val="22"/>
                                <w:szCs w:val="22"/>
                              </w:rPr>
                              <w:t>συγκεκριμένων προϊόντων ή υπηρεσιών.</w:t>
                            </w:r>
                          </w:p>
                          <w:p w14:paraId="4C6ACAC6" w14:textId="6964A8E1" w:rsidR="005B6F93" w:rsidRPr="00BA1CFF" w:rsidRDefault="000B2252" w:rsidP="00EA6501">
                            <w:pPr>
                              <w:pStyle w:val="ListParagraph"/>
                              <w:numPr>
                                <w:ilvl w:val="0"/>
                                <w:numId w:val="8"/>
                              </w:numPr>
                              <w:spacing w:before="160" w:after="160"/>
                              <w:rPr>
                                <w:rFonts w:asciiTheme="majorHAnsi" w:hAnsiTheme="majorHAnsi"/>
                                <w:sz w:val="22"/>
                                <w:szCs w:val="22"/>
                              </w:rPr>
                            </w:pPr>
                            <w:r w:rsidRPr="00BA1CFF">
                              <w:rPr>
                                <w:rFonts w:asciiTheme="majorHAnsi" w:hAnsiTheme="majorHAnsi"/>
                                <w:sz w:val="22"/>
                                <w:szCs w:val="22"/>
                              </w:rPr>
                              <w:t>Αποπληθωρισμός ονομάζεται η</w:t>
                            </w:r>
                            <w:r w:rsidR="005B6F93" w:rsidRPr="00BA1CFF">
                              <w:rPr>
                                <w:rFonts w:asciiTheme="majorHAnsi" w:hAnsiTheme="majorHAnsi"/>
                                <w:sz w:val="22"/>
                                <w:szCs w:val="22"/>
                              </w:rPr>
                              <w:t xml:space="preserve"> αντίθετη διαδικασία, δηλαδή η διαρκής και γενικευμένη μείωση των τιμών. </w:t>
                            </w:r>
                          </w:p>
                          <w:p w14:paraId="6B4B0B63" w14:textId="09F924E2" w:rsidR="005B6F93" w:rsidRPr="00BA1CFF" w:rsidRDefault="005B6F93" w:rsidP="00EA6501">
                            <w:pPr>
                              <w:pStyle w:val="ListParagraph"/>
                              <w:numPr>
                                <w:ilvl w:val="0"/>
                                <w:numId w:val="8"/>
                              </w:numPr>
                              <w:spacing w:before="160" w:after="160"/>
                              <w:rPr>
                                <w:rFonts w:asciiTheme="majorHAnsi" w:hAnsiTheme="majorHAnsi"/>
                                <w:sz w:val="22"/>
                                <w:szCs w:val="22"/>
                              </w:rPr>
                            </w:pPr>
                            <w:r w:rsidRPr="00BA1CFF">
                              <w:rPr>
                                <w:rFonts w:asciiTheme="majorHAnsi" w:hAnsiTheme="majorHAnsi"/>
                                <w:sz w:val="22"/>
                                <w:szCs w:val="22"/>
                              </w:rPr>
                              <w:t xml:space="preserve">Υπερπληθωρισμός είναι η ακραία και ανεξέλεγκτη αύξηση του γενικού επιπέδου των τιμών. </w:t>
                            </w:r>
                          </w:p>
                          <w:p w14:paraId="4DB3EDE1" w14:textId="38DF07E0" w:rsidR="00C95111" w:rsidRPr="00BA1CFF" w:rsidRDefault="00C95111" w:rsidP="00143301">
                            <w:pPr>
                              <w:spacing w:before="160" w:after="160"/>
                              <w:rPr>
                                <w:rFonts w:asciiTheme="majorHAnsi" w:hAnsiTheme="majorHAnsi"/>
                                <w:sz w:val="22"/>
                                <w:szCs w:val="22"/>
                              </w:rPr>
                            </w:pPr>
                            <w:r w:rsidRPr="00BA1CFF">
                              <w:rPr>
                                <w:rFonts w:asciiTheme="majorHAnsi" w:hAnsiTheme="majorHAnsi"/>
                                <w:sz w:val="22"/>
                                <w:szCs w:val="22"/>
                              </w:rPr>
                              <w:t>Στη ζώνη του ευρώ, η σταθερότητα των τιμών θεωρείται συμβατή με πληθωρισμό ίσο με 2% σε μεσοπρόθεσμη βάση.</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C198AB" id="_x0000_t202" coordsize="21600,21600" o:spt="202" path="m,l,21600r21600,l21600,xe">
                <v:stroke joinstyle="miter"/>
                <v:path gradientshapeok="t" o:connecttype="rect"/>
              </v:shapetype>
              <v:shape id="Text Box 2" o:spid="_x0000_s1026" type="#_x0000_t202" style="position:absolute;left:0;text-align:left;margin-left:25.15pt;margin-top:1pt;width:219.1pt;height:255.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" strokecolor="#4e95d9 [1631]">
                <v:textbox>
                  <w:txbxContent>
                    <w:p w14:paraId="03C2F7E1" w14:textId="41B278D3" w:rsidR="00C95111" w:rsidRPr="00BA1CFF" w:rsidRDefault="00FD7FE9" w:rsidP="00EA6501">
                      <w:pPr>
                        <w:pStyle w:val="ListParagraph"/>
                        <w:numPr>
                          <w:ilvl w:val="0"/>
                          <w:numId w:val="8"/>
                        </w:numPr>
                        <w:spacing w:before="160" w:after="160"/>
                        <w:rPr>
                          <w:rFonts w:asciiTheme="majorHAnsi" w:hAnsiTheme="majorHAnsi"/>
                          <w:sz w:val="22"/>
                          <w:szCs w:val="22"/>
                        </w:rPr>
                      </w:pPr>
                      <w:r w:rsidRPr="00BA1CFF">
                        <w:rPr>
                          <w:rFonts w:asciiTheme="majorHAnsi" w:hAnsiTheme="majorHAnsi"/>
                          <w:sz w:val="22"/>
                          <w:szCs w:val="22"/>
                        </w:rPr>
                        <w:t>Πληθωρισμός εμφανίζεται όταν υπ</w:t>
                      </w:r>
                      <w:r w:rsidR="00611013" w:rsidRPr="00BA1CFF">
                        <w:rPr>
                          <w:rFonts w:asciiTheme="majorHAnsi" w:hAnsiTheme="majorHAnsi"/>
                          <w:sz w:val="22"/>
                          <w:szCs w:val="22"/>
                        </w:rPr>
                        <w:t>ά</w:t>
                      </w:r>
                      <w:r w:rsidRPr="00BA1CFF">
                        <w:rPr>
                          <w:rFonts w:asciiTheme="majorHAnsi" w:hAnsiTheme="majorHAnsi"/>
                          <w:sz w:val="22"/>
                          <w:szCs w:val="22"/>
                        </w:rPr>
                        <w:t>ρχει συνεχής γενικευμένη αύξηση των τιμών</w:t>
                      </w:r>
                      <w:r w:rsidR="000B2252" w:rsidRPr="00BA1CFF">
                        <w:rPr>
                          <w:rFonts w:asciiTheme="majorHAnsi" w:hAnsiTheme="majorHAnsi"/>
                          <w:sz w:val="22"/>
                          <w:szCs w:val="22"/>
                        </w:rPr>
                        <w:t xml:space="preserve">, </w:t>
                      </w:r>
                      <w:r w:rsidRPr="00BA1CFF">
                        <w:rPr>
                          <w:rFonts w:asciiTheme="majorHAnsi" w:hAnsiTheme="majorHAnsi"/>
                          <w:sz w:val="22"/>
                          <w:szCs w:val="22"/>
                        </w:rPr>
                        <w:t>και όχι μόνο</w:t>
                      </w:r>
                      <w:r w:rsidR="000B2252" w:rsidRPr="00BA1CFF">
                        <w:rPr>
                          <w:rFonts w:asciiTheme="majorHAnsi" w:hAnsiTheme="majorHAnsi"/>
                          <w:sz w:val="22"/>
                          <w:szCs w:val="22"/>
                        </w:rPr>
                        <w:t xml:space="preserve"> αύξηση </w:t>
                      </w:r>
                      <w:r w:rsidRPr="00BA1CFF">
                        <w:rPr>
                          <w:rFonts w:asciiTheme="majorHAnsi" w:hAnsiTheme="majorHAnsi"/>
                          <w:sz w:val="22"/>
                          <w:szCs w:val="22"/>
                        </w:rPr>
                        <w:t>συγκεκριμένων προϊόντων ή υπηρεσιών.</w:t>
                      </w:r>
                    </w:p>
                    <w:p w14:paraId="4C6ACAC6" w14:textId="6964A8E1" w:rsidR="005B6F93" w:rsidRPr="00BA1CFF" w:rsidRDefault="000B2252" w:rsidP="00EA6501">
                      <w:pPr>
                        <w:pStyle w:val="ListParagraph"/>
                        <w:numPr>
                          <w:ilvl w:val="0"/>
                          <w:numId w:val="8"/>
                        </w:numPr>
                        <w:spacing w:before="160" w:after="160"/>
                        <w:rPr>
                          <w:rFonts w:asciiTheme="majorHAnsi" w:hAnsiTheme="majorHAnsi"/>
                          <w:sz w:val="22"/>
                          <w:szCs w:val="22"/>
                        </w:rPr>
                      </w:pPr>
                      <w:r w:rsidRPr="00BA1CFF">
                        <w:rPr>
                          <w:rFonts w:asciiTheme="majorHAnsi" w:hAnsiTheme="majorHAnsi"/>
                          <w:sz w:val="22"/>
                          <w:szCs w:val="22"/>
                        </w:rPr>
                        <w:t>Αποπληθωρισμός ονομάζεται η</w:t>
                      </w:r>
                      <w:r w:rsidR="005B6F93" w:rsidRPr="00BA1CFF">
                        <w:rPr>
                          <w:rFonts w:asciiTheme="majorHAnsi" w:hAnsiTheme="majorHAnsi"/>
                          <w:sz w:val="22"/>
                          <w:szCs w:val="22"/>
                        </w:rPr>
                        <w:t xml:space="preserve"> αντίθετη διαδικασία, δηλαδή η διαρκής και γενικευμένη μείωση των τιμών. </w:t>
                      </w:r>
                    </w:p>
                    <w:p w14:paraId="6B4B0B63" w14:textId="09F924E2" w:rsidR="005B6F93" w:rsidRPr="00BA1CFF" w:rsidRDefault="005B6F93" w:rsidP="00EA6501">
                      <w:pPr>
                        <w:pStyle w:val="ListParagraph"/>
                        <w:numPr>
                          <w:ilvl w:val="0"/>
                          <w:numId w:val="8"/>
                        </w:numPr>
                        <w:spacing w:before="160" w:after="160"/>
                        <w:rPr>
                          <w:rFonts w:asciiTheme="majorHAnsi" w:hAnsiTheme="majorHAnsi"/>
                          <w:sz w:val="22"/>
                          <w:szCs w:val="22"/>
                        </w:rPr>
                      </w:pPr>
                      <w:r w:rsidRPr="00BA1CFF">
                        <w:rPr>
                          <w:rFonts w:asciiTheme="majorHAnsi" w:hAnsiTheme="majorHAnsi"/>
                          <w:sz w:val="22"/>
                          <w:szCs w:val="22"/>
                        </w:rPr>
                        <w:t xml:space="preserve">Υπερπληθωρισμός είναι η ακραία και ανεξέλεγκτη αύξηση του γενικού επιπέδου των τιμών. </w:t>
                      </w:r>
                    </w:p>
                    <w:p w14:paraId="4DB3EDE1" w14:textId="38DF07E0" w:rsidR="00C95111" w:rsidRPr="00BA1CFF" w:rsidRDefault="00C95111" w:rsidP="00143301">
                      <w:pPr>
                        <w:spacing w:before="160" w:after="160"/>
                        <w:rPr>
                          <w:rFonts w:asciiTheme="majorHAnsi" w:hAnsiTheme="majorHAnsi"/>
                          <w:sz w:val="22"/>
                          <w:szCs w:val="22"/>
                        </w:rPr>
                      </w:pPr>
                      <w:r w:rsidRPr="00BA1CFF">
                        <w:rPr>
                          <w:rFonts w:asciiTheme="majorHAnsi" w:hAnsiTheme="majorHAnsi"/>
                          <w:sz w:val="22"/>
                          <w:szCs w:val="22"/>
                        </w:rPr>
                        <w:t>Στη ζώνη του ευρώ, η σταθερότητα των τιμών θεωρείται συμβατή με πληθωρισμό ίσο με 2% σε μεσοπρόθεσμη βάση.</w:t>
                      </w:r>
                    </w:p>
                  </w:txbxContent>
                </v:textbox>
                <w10:wrap type="tight" anchorx="margin"/>
              </v:shape>
            </w:pict>
          </mc:Fallback>
        </mc:AlternateContent>
      </w:r>
      <w:r w:rsidR="004F3BC5">
        <w:rPr>
          <w:noProof/>
        </w:rPr>
        <mc:AlternateContent>
          <mc:Choice Requires="wps">
            <w:drawing>
              <wp:inline distT="0" distB="0" distL="0" distR="0" wp14:anchorId="17CCEA6E" wp14:editId="5AAFF33E">
                <wp:extent cx="304800" cy="304800"/>
                <wp:effectExtent l="0" t="0" r="0" b="0"/>
                <wp:docPr id="2074948609"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D69300"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005E0F" w:rsidRPr="005C1969">
        <w:rPr>
          <w:rFonts w:asciiTheme="minorHAnsi" w:eastAsia="Times New Roman" w:hAnsiTheme="minorHAnsi" w:cs="Segoe UI"/>
          <w:sz w:val="18"/>
          <w:szCs w:val="18"/>
        </w:rPr>
        <w:t xml:space="preserve"> </w:t>
      </w:r>
      <w:r w:rsidR="00F30E72">
        <w:rPr>
          <w:rFonts w:asciiTheme="minorHAnsi" w:eastAsia="Times New Roman" w:hAnsiTheme="minorHAnsi" w:cs="Segoe UI"/>
          <w:noProof/>
          <w:sz w:val="18"/>
          <w:szCs w:val="18"/>
        </w:rPr>
        <w:drawing>
          <wp:inline distT="0" distB="0" distL="0" distR="0" wp14:anchorId="623E2DD7" wp14:editId="038031C8">
            <wp:extent cx="2244436" cy="3228675"/>
            <wp:effectExtent l="0" t="0" r="3810" b="0"/>
            <wp:docPr id="19642931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a:stretch>
                      <a:fillRect/>
                    </a:stretch>
                  </pic:blipFill>
                  <pic:spPr bwMode="auto">
                    <a:xfrm>
                      <a:off x="0" y="0"/>
                      <a:ext cx="2307916" cy="3319992"/>
                    </a:xfrm>
                    <a:prstGeom prst="rect">
                      <a:avLst/>
                    </a:prstGeom>
                    <a:noFill/>
                    <a:ln>
                      <a:noFill/>
                    </a:ln>
                    <a:extLst>
                      <a:ext uri="{53640926-AAD7-44D8-BBD7-CCE9431645EC}">
                        <a14:shadowObscured xmlns:a14="http://schemas.microsoft.com/office/drawing/2010/main"/>
                      </a:ext>
                    </a:extLst>
                  </pic:spPr>
                </pic:pic>
              </a:graphicData>
            </a:graphic>
          </wp:inline>
        </w:drawing>
      </w:r>
    </w:p>
    <w:p w14:paraId="33279241" w14:textId="77777777" w:rsidR="00EA6501" w:rsidRPr="002B5ECA" w:rsidRDefault="00EA6501" w:rsidP="00EA6501">
      <w:pPr>
        <w:pBdr>
          <w:bottom w:val="single" w:sz="4" w:space="1" w:color="C5D4EC"/>
        </w:pBdr>
        <w:spacing w:before="160" w:after="160"/>
        <w:rPr>
          <w:rFonts w:asciiTheme="minorHAnsi" w:hAnsiTheme="minorHAnsi"/>
        </w:rPr>
      </w:pPr>
    </w:p>
    <w:p w14:paraId="3F9406D6" w14:textId="319CA0D1" w:rsidR="00234EA0" w:rsidRPr="00EC6CA3" w:rsidRDefault="00DE6327" w:rsidP="00115CF4">
      <w:pPr>
        <w:spacing w:before="120" w:after="120"/>
        <w:rPr>
          <w:rFonts w:asciiTheme="minorHAnsi" w:hAnsiTheme="minorHAnsi"/>
          <w:b/>
          <w:color w:val="003087"/>
          <w:sz w:val="28"/>
        </w:rPr>
      </w:pPr>
      <w:r>
        <w:rPr>
          <w:rFonts w:asciiTheme="minorHAnsi" w:hAnsiTheme="minorHAnsi"/>
          <w:b/>
          <w:bCs/>
          <w:color w:val="003087"/>
          <w:sz w:val="28"/>
          <w:szCs w:val="28"/>
        </w:rPr>
        <w:t>6</w:t>
      </w:r>
      <w:r w:rsidR="00D90CB3" w:rsidRPr="005C1969">
        <w:rPr>
          <w:rFonts w:asciiTheme="minorHAnsi" w:hAnsiTheme="minorHAnsi"/>
          <w:b/>
          <w:bCs/>
          <w:color w:val="003087"/>
          <w:sz w:val="28"/>
          <w:szCs w:val="28"/>
        </w:rPr>
        <w:t xml:space="preserve">. </w:t>
      </w:r>
      <w:r w:rsidR="00D37B5E">
        <w:rPr>
          <w:rFonts w:asciiTheme="minorHAnsi" w:hAnsiTheme="minorHAnsi"/>
          <w:b/>
          <w:bCs/>
          <w:color w:val="003087"/>
          <w:sz w:val="28"/>
          <w:szCs w:val="28"/>
        </w:rPr>
        <w:t xml:space="preserve">Πώς </w:t>
      </w:r>
      <w:r w:rsidR="003539E1">
        <w:rPr>
          <w:rFonts w:asciiTheme="minorHAnsi" w:hAnsiTheme="minorHAnsi"/>
          <w:b/>
          <w:bCs/>
          <w:color w:val="003087"/>
          <w:sz w:val="28"/>
          <w:szCs w:val="28"/>
        </w:rPr>
        <w:t xml:space="preserve">χαράσσεται </w:t>
      </w:r>
      <w:r w:rsidR="00D37B5E">
        <w:rPr>
          <w:rFonts w:asciiTheme="minorHAnsi" w:hAnsiTheme="minorHAnsi"/>
          <w:b/>
          <w:bCs/>
          <w:color w:val="003087"/>
          <w:sz w:val="28"/>
          <w:szCs w:val="28"/>
        </w:rPr>
        <w:t xml:space="preserve">η </w:t>
      </w:r>
      <w:r w:rsidR="008B2DE2">
        <w:rPr>
          <w:rFonts w:asciiTheme="minorHAnsi" w:hAnsiTheme="minorHAnsi"/>
          <w:b/>
          <w:bCs/>
          <w:color w:val="003087"/>
          <w:sz w:val="28"/>
          <w:szCs w:val="28"/>
        </w:rPr>
        <w:t>ν</w:t>
      </w:r>
      <w:r w:rsidR="00234EA0" w:rsidRPr="00EC6CA3">
        <w:rPr>
          <w:rFonts w:asciiTheme="minorHAnsi" w:hAnsiTheme="minorHAnsi"/>
          <w:b/>
          <w:color w:val="003087"/>
          <w:sz w:val="28"/>
        </w:rPr>
        <w:t xml:space="preserve">ομισματική </w:t>
      </w:r>
      <w:r w:rsidR="008B2DE2">
        <w:rPr>
          <w:rFonts w:asciiTheme="minorHAnsi" w:hAnsiTheme="minorHAnsi"/>
          <w:b/>
          <w:color w:val="003087"/>
          <w:sz w:val="28"/>
        </w:rPr>
        <w:t>π</w:t>
      </w:r>
      <w:r w:rsidR="00234EA0" w:rsidRPr="00EC6CA3">
        <w:rPr>
          <w:rFonts w:asciiTheme="minorHAnsi" w:hAnsiTheme="minorHAnsi"/>
          <w:b/>
          <w:color w:val="003087"/>
          <w:sz w:val="28"/>
        </w:rPr>
        <w:t>ολιτική</w:t>
      </w:r>
      <w:r w:rsidR="008B2DE2">
        <w:rPr>
          <w:rFonts w:asciiTheme="minorHAnsi" w:hAnsiTheme="minorHAnsi"/>
          <w:b/>
          <w:color w:val="003087"/>
          <w:sz w:val="28"/>
        </w:rPr>
        <w:t>;</w:t>
      </w:r>
      <w:r w:rsidR="00234EA0" w:rsidRPr="00EC6CA3">
        <w:rPr>
          <w:rFonts w:asciiTheme="minorHAnsi" w:hAnsiTheme="minorHAnsi"/>
          <w:b/>
          <w:color w:val="003087"/>
          <w:sz w:val="28"/>
        </w:rPr>
        <w:t xml:space="preserve"> </w:t>
      </w:r>
    </w:p>
    <w:p w14:paraId="1DC4B0A1" w14:textId="1D037707" w:rsidR="00C2751A" w:rsidRPr="00D27274" w:rsidRDefault="00234EA0" w:rsidP="00D27274">
      <w:pPr>
        <w:spacing w:before="60" w:afterLines="60" w:after="144"/>
        <w:jc w:val="both"/>
        <w:rPr>
          <w:rFonts w:asciiTheme="minorHAnsi" w:hAnsiTheme="minorHAnsi"/>
          <w:sz w:val="22"/>
          <w:szCs w:val="22"/>
        </w:rPr>
      </w:pPr>
      <w:r w:rsidRPr="00D27274">
        <w:rPr>
          <w:rFonts w:asciiTheme="minorHAnsi" w:hAnsiTheme="minorHAnsi"/>
          <w:sz w:val="22"/>
          <w:szCs w:val="22"/>
        </w:rPr>
        <w:t xml:space="preserve">Η νομισματική πολιτική αφορά τις αποφάσεις που λαμβάνουν οι κεντρικές τράπεζες κατά την επιδίωξη της σταθερότητας των τιμών. </w:t>
      </w:r>
    </w:p>
    <w:p w14:paraId="4473DB74" w14:textId="252FA83E" w:rsidR="00234EA0" w:rsidRPr="00D27274" w:rsidRDefault="00234EA0" w:rsidP="00D27274">
      <w:pPr>
        <w:spacing w:before="60" w:afterLines="60" w:after="144"/>
        <w:jc w:val="both"/>
        <w:rPr>
          <w:rFonts w:asciiTheme="minorHAnsi" w:hAnsiTheme="minorHAnsi"/>
          <w:sz w:val="22"/>
          <w:szCs w:val="22"/>
        </w:rPr>
      </w:pPr>
      <w:r w:rsidRPr="00D27274">
        <w:rPr>
          <w:rFonts w:asciiTheme="minorHAnsi" w:hAnsiTheme="minorHAnsi"/>
          <w:sz w:val="22"/>
          <w:szCs w:val="22"/>
        </w:rPr>
        <w:t xml:space="preserve">Στη ζώνη του ευρώ, η νομισματική πολιτική ασκείται </w:t>
      </w:r>
      <w:r w:rsidR="00B9159E" w:rsidRPr="00D27274">
        <w:rPr>
          <w:rFonts w:asciiTheme="minorHAnsi" w:hAnsiTheme="minorHAnsi"/>
          <w:sz w:val="22"/>
          <w:szCs w:val="22"/>
        </w:rPr>
        <w:t xml:space="preserve">από </w:t>
      </w:r>
      <w:r w:rsidR="00675A7F" w:rsidRPr="00D27274">
        <w:rPr>
          <w:rFonts w:asciiTheme="minorHAnsi" w:hAnsiTheme="minorHAnsi"/>
          <w:sz w:val="22"/>
          <w:szCs w:val="22"/>
        </w:rPr>
        <w:t xml:space="preserve">το Ευρωσύστημα, που περιλαμβάνει </w:t>
      </w:r>
      <w:r w:rsidR="00B9159E" w:rsidRPr="00D27274">
        <w:rPr>
          <w:rFonts w:asciiTheme="minorHAnsi" w:hAnsiTheme="minorHAnsi"/>
          <w:sz w:val="22"/>
          <w:szCs w:val="22"/>
        </w:rPr>
        <w:t>την Ευρωπαϊκή Κεντρική Τράπεζα και τις εθνικές κεντρικές τράπεζες των χωρών</w:t>
      </w:r>
      <w:r w:rsidR="003539E1" w:rsidRPr="00D27274">
        <w:rPr>
          <w:rFonts w:asciiTheme="minorHAnsi" w:hAnsiTheme="minorHAnsi"/>
          <w:sz w:val="22"/>
          <w:szCs w:val="22"/>
        </w:rPr>
        <w:t xml:space="preserve"> που έχουν υιοθετήσει το ευρώ</w:t>
      </w:r>
      <w:r w:rsidR="00675A7F" w:rsidRPr="00D27274">
        <w:rPr>
          <w:rFonts w:asciiTheme="minorHAnsi" w:hAnsiTheme="minorHAnsi"/>
          <w:sz w:val="22"/>
          <w:szCs w:val="22"/>
        </w:rPr>
        <w:t xml:space="preserve">, όπως την </w:t>
      </w:r>
      <w:r w:rsidRPr="00D27274">
        <w:rPr>
          <w:rFonts w:asciiTheme="minorHAnsi" w:hAnsiTheme="minorHAnsi"/>
          <w:sz w:val="22"/>
          <w:szCs w:val="22"/>
        </w:rPr>
        <w:t>Τράπεζα της Ελλάδος</w:t>
      </w:r>
      <w:r w:rsidR="003539E1" w:rsidRPr="00D27274">
        <w:rPr>
          <w:rFonts w:asciiTheme="minorHAnsi" w:hAnsiTheme="minorHAnsi"/>
          <w:sz w:val="22"/>
          <w:szCs w:val="22"/>
        </w:rPr>
        <w:t>.</w:t>
      </w:r>
      <w:r w:rsidRPr="00D27274">
        <w:rPr>
          <w:rFonts w:asciiTheme="minorHAnsi" w:hAnsiTheme="minorHAnsi"/>
          <w:sz w:val="22"/>
          <w:szCs w:val="22"/>
        </w:rPr>
        <w:t xml:space="preserve"> </w:t>
      </w:r>
      <w:r w:rsidR="003539E1" w:rsidRPr="00D27274">
        <w:rPr>
          <w:rFonts w:asciiTheme="minorHAnsi" w:hAnsiTheme="minorHAnsi"/>
          <w:sz w:val="22"/>
          <w:szCs w:val="22"/>
        </w:rPr>
        <w:t>Με την επιφύλαξη του πρωταρχικού στόχου της σταθερότητας των τιμών, το Ευρωσύστημα στηρίζει τις γενικές οικονομικές πολιτικές της Ευρωπαϊκής Ένωσης.</w:t>
      </w:r>
    </w:p>
    <w:p w14:paraId="746903E9" w14:textId="2269F569" w:rsidR="00EB6258" w:rsidRPr="00D27274" w:rsidRDefault="00234EA0" w:rsidP="00D27274">
      <w:pPr>
        <w:spacing w:before="60" w:afterLines="60" w:after="144"/>
        <w:jc w:val="both"/>
        <w:rPr>
          <w:rFonts w:asciiTheme="minorHAnsi" w:hAnsiTheme="minorHAnsi"/>
          <w:sz w:val="22"/>
          <w:szCs w:val="22"/>
        </w:rPr>
      </w:pPr>
      <w:r w:rsidRPr="00D27274">
        <w:rPr>
          <w:rFonts w:asciiTheme="minorHAnsi" w:hAnsiTheme="minorHAnsi"/>
          <w:sz w:val="22"/>
          <w:szCs w:val="22"/>
        </w:rPr>
        <w:lastRenderedPageBreak/>
        <w:t>Οι αποφάσεις για τη νομισματική πολιτική λαμβάνονται από το Διοικητικό Συμβούλιο της ΕΚΤ. Αποτελείται από την Πρόεδρο, τον Αντιπρόεδρο</w:t>
      </w:r>
      <w:r w:rsidR="0052044A" w:rsidRPr="00D27274">
        <w:rPr>
          <w:rFonts w:asciiTheme="minorHAnsi" w:hAnsiTheme="minorHAnsi"/>
          <w:sz w:val="22"/>
          <w:szCs w:val="22"/>
        </w:rPr>
        <w:t xml:space="preserve">, τα </w:t>
      </w:r>
      <w:r w:rsidRPr="00D27274">
        <w:rPr>
          <w:rFonts w:asciiTheme="minorHAnsi" w:hAnsiTheme="minorHAnsi"/>
          <w:sz w:val="22"/>
          <w:szCs w:val="22"/>
        </w:rPr>
        <w:t>υπόλοιπα τέσσερα μέλη της Εκτελεστικής Επιτροπή</w:t>
      </w:r>
      <w:r w:rsidR="00010DBC" w:rsidRPr="00D27274">
        <w:rPr>
          <w:rFonts w:asciiTheme="minorHAnsi" w:hAnsiTheme="minorHAnsi"/>
          <w:sz w:val="22"/>
          <w:szCs w:val="22"/>
        </w:rPr>
        <w:t>ς</w:t>
      </w:r>
      <w:r w:rsidR="0052044A" w:rsidRPr="00D27274">
        <w:rPr>
          <w:rFonts w:asciiTheme="minorHAnsi" w:hAnsiTheme="minorHAnsi"/>
          <w:sz w:val="22"/>
          <w:szCs w:val="22"/>
        </w:rPr>
        <w:t xml:space="preserve"> της ΕΚΤ</w:t>
      </w:r>
      <w:r w:rsidRPr="00D27274">
        <w:rPr>
          <w:rFonts w:asciiTheme="minorHAnsi" w:hAnsiTheme="minorHAnsi"/>
          <w:sz w:val="22"/>
          <w:szCs w:val="22"/>
        </w:rPr>
        <w:t xml:space="preserve">, καθώς και από τους διοικητές των εθνικών κεντρικών τραπεζών των χωρών της ζώνης του ευρώ. </w:t>
      </w:r>
    </w:p>
    <w:p w14:paraId="53A32FCD" w14:textId="23C79186" w:rsidR="00234EA0" w:rsidRPr="00D27274" w:rsidRDefault="00EB6258" w:rsidP="00D27274">
      <w:pPr>
        <w:spacing w:before="60" w:afterLines="60" w:after="144"/>
        <w:jc w:val="both"/>
        <w:rPr>
          <w:rFonts w:asciiTheme="minorHAnsi" w:hAnsiTheme="minorHAnsi"/>
          <w:sz w:val="22"/>
          <w:szCs w:val="22"/>
        </w:rPr>
      </w:pPr>
      <w:r w:rsidRPr="00D27274">
        <w:rPr>
          <w:rFonts w:asciiTheme="minorHAnsi" w:hAnsiTheme="minorHAnsi"/>
          <w:sz w:val="22"/>
          <w:szCs w:val="22"/>
        </w:rPr>
        <w:t>Οι συνεδριάσεις νομισματικής πολιτικής του Διοικητικού Συμβουλίου πραγματοποιούνται, κατά κανόνα, κάθε έξι εβδομάδες. Μετά τη συνεδρίαση ακολουθεί συνέντευξη Τύπου, στην οποία η Πρόεδρος και ο Αντιπρόεδρος της ΕΚΤ εξηγούν το σκεπτικό των αποφάσεων που ελήφθησαν.</w:t>
      </w:r>
    </w:p>
    <w:p w14:paraId="57087452" w14:textId="3F9D7EDD" w:rsidR="007B68B5" w:rsidRPr="00D27274" w:rsidRDefault="007B68B5" w:rsidP="00D27274">
      <w:pPr>
        <w:spacing w:before="60" w:afterLines="60" w:after="144"/>
        <w:jc w:val="both"/>
        <w:rPr>
          <w:rFonts w:asciiTheme="minorHAnsi" w:hAnsiTheme="minorHAnsi"/>
          <w:sz w:val="22"/>
          <w:szCs w:val="22"/>
        </w:rPr>
      </w:pPr>
      <w:r w:rsidRPr="00D27274">
        <w:rPr>
          <w:rFonts w:asciiTheme="minorHAnsi" w:hAnsiTheme="minorHAnsi"/>
          <w:sz w:val="22"/>
          <w:szCs w:val="22"/>
        </w:rPr>
        <w:t xml:space="preserve">Οι αποφάσεις στο Διοικητικό Συμβούλιο </w:t>
      </w:r>
      <w:r w:rsidR="002627C8" w:rsidRPr="00D27274">
        <w:rPr>
          <w:rFonts w:asciiTheme="minorHAnsi" w:hAnsiTheme="minorHAnsi"/>
          <w:sz w:val="22"/>
          <w:szCs w:val="22"/>
        </w:rPr>
        <w:t xml:space="preserve">της ΕΚΤ </w:t>
      </w:r>
      <w:r w:rsidRPr="00D27274">
        <w:rPr>
          <w:rFonts w:asciiTheme="minorHAnsi" w:hAnsiTheme="minorHAnsi"/>
          <w:sz w:val="22"/>
          <w:szCs w:val="22"/>
        </w:rPr>
        <w:t>λαμβάνονται κατά κανόνα με βάση την αρχή «ένα μέλος, μία ψήφος»</w:t>
      </w:r>
      <w:r w:rsidR="00090811" w:rsidRPr="00D27274">
        <w:rPr>
          <w:rFonts w:asciiTheme="minorHAnsi" w:hAnsiTheme="minorHAnsi"/>
          <w:sz w:val="22"/>
          <w:szCs w:val="22"/>
        </w:rPr>
        <w:t xml:space="preserve">. </w:t>
      </w:r>
      <w:r w:rsidRPr="00D27274">
        <w:rPr>
          <w:rFonts w:asciiTheme="minorHAnsi" w:hAnsiTheme="minorHAnsi"/>
          <w:sz w:val="22"/>
          <w:szCs w:val="22"/>
        </w:rPr>
        <w:t xml:space="preserve">Αυτό σημαίνει </w:t>
      </w:r>
      <w:r w:rsidR="00090811" w:rsidRPr="00D27274">
        <w:rPr>
          <w:rFonts w:asciiTheme="minorHAnsi" w:hAnsiTheme="minorHAnsi"/>
          <w:sz w:val="22"/>
          <w:szCs w:val="22"/>
        </w:rPr>
        <w:t xml:space="preserve">ότι </w:t>
      </w:r>
      <w:r w:rsidRPr="00D27274">
        <w:rPr>
          <w:rFonts w:asciiTheme="minorHAnsi" w:hAnsiTheme="minorHAnsi"/>
          <w:sz w:val="22"/>
          <w:szCs w:val="22"/>
        </w:rPr>
        <w:t xml:space="preserve">η ψήφος του Διοικητή της Τράπεζας της Ελλάδος έχει ακριβώς το ίδιο θεσμικό βάρος με την ψήφο </w:t>
      </w:r>
      <w:r w:rsidR="00090811" w:rsidRPr="00D27274">
        <w:rPr>
          <w:rFonts w:asciiTheme="minorHAnsi" w:hAnsiTheme="minorHAnsi"/>
          <w:sz w:val="22"/>
          <w:szCs w:val="22"/>
        </w:rPr>
        <w:t xml:space="preserve">κάθε άλλου μέλους του </w:t>
      </w:r>
      <w:r w:rsidRPr="00D27274">
        <w:rPr>
          <w:rFonts w:asciiTheme="minorHAnsi" w:hAnsiTheme="minorHAnsi"/>
          <w:sz w:val="22"/>
          <w:szCs w:val="22"/>
        </w:rPr>
        <w:t>Διοικητικού Συμβουλίου</w:t>
      </w:r>
      <w:r w:rsidR="00886820" w:rsidRPr="00D27274">
        <w:rPr>
          <w:rFonts w:asciiTheme="minorHAnsi" w:hAnsiTheme="minorHAnsi"/>
          <w:sz w:val="22"/>
          <w:szCs w:val="22"/>
        </w:rPr>
        <w:t xml:space="preserve">. </w:t>
      </w:r>
    </w:p>
    <w:p w14:paraId="09435948" w14:textId="4E7237E9" w:rsidR="00766658" w:rsidRPr="00EA6501" w:rsidRDefault="00766658" w:rsidP="00AF7408">
      <w:pPr>
        <w:jc w:val="center"/>
        <w:rPr>
          <w:rFonts w:asciiTheme="majorHAnsi" w:hAnsiTheme="majorHAnsi"/>
          <w:sz w:val="22"/>
          <w:szCs w:val="22"/>
        </w:rPr>
      </w:pPr>
    </w:p>
    <w:p w14:paraId="6240E78D" w14:textId="77777777" w:rsidR="00760CEE" w:rsidRPr="00D27274" w:rsidRDefault="005A2A7B" w:rsidP="00D27274">
      <w:pPr>
        <w:spacing w:before="60" w:afterLines="60" w:after="144"/>
        <w:jc w:val="both"/>
        <w:rPr>
          <w:rFonts w:asciiTheme="minorHAnsi" w:hAnsiTheme="minorHAnsi"/>
          <w:sz w:val="22"/>
          <w:szCs w:val="22"/>
        </w:rPr>
      </w:pPr>
      <w:r w:rsidRPr="00D27274">
        <w:rPr>
          <w:rFonts w:asciiTheme="minorHAnsi" w:hAnsiTheme="minorHAnsi"/>
          <w:noProof/>
          <w:sz w:val="22"/>
          <w:szCs w:val="22"/>
        </w:rPr>
        <w:drawing>
          <wp:anchor distT="0" distB="0" distL="114300" distR="114300" simplePos="0" relativeHeight="251658243" behindDoc="1" locked="0" layoutInCell="1" allowOverlap="1" wp14:anchorId="533EF4A1" wp14:editId="18BE0DFC">
            <wp:simplePos x="0" y="0"/>
            <wp:positionH relativeFrom="margin">
              <wp:align>left</wp:align>
            </wp:positionH>
            <wp:positionV relativeFrom="paragraph">
              <wp:posOffset>8313</wp:posOffset>
            </wp:positionV>
            <wp:extent cx="3768090" cy="2512060"/>
            <wp:effectExtent l="0" t="0" r="3810" b="2540"/>
            <wp:wrapTight wrapText="bothSides">
              <wp:wrapPolygon edited="0">
                <wp:start x="0" y="0"/>
                <wp:lineTo x="0" y="21458"/>
                <wp:lineTo x="21513" y="21458"/>
                <wp:lineTo x="21513" y="0"/>
                <wp:lineTo x="0" y="0"/>
              </wp:wrapPolygon>
            </wp:wrapTight>
            <wp:docPr id="177183245" name="Picture 1" descr="Επιτόκια: Τα φώτα στραμμένα στην Τράπεζα της Ελλάδο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πιτόκια: Τα φώτα στραμμένα στην Τράπεζα της Ελλάδος"/>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78128" cy="2518753"/>
                    </a:xfrm>
                    <a:prstGeom prst="rect">
                      <a:avLst/>
                    </a:prstGeom>
                    <a:noFill/>
                    <a:ln>
                      <a:noFill/>
                    </a:ln>
                  </pic:spPr>
                </pic:pic>
              </a:graphicData>
            </a:graphic>
            <wp14:sizeRelH relativeFrom="page">
              <wp14:pctWidth>0</wp14:pctWidth>
            </wp14:sizeRelH>
            <wp14:sizeRelV relativeFrom="page">
              <wp14:pctHeight>0</wp14:pctHeight>
            </wp14:sizeRelV>
          </wp:anchor>
        </w:drawing>
      </w:r>
      <w:r w:rsidR="00766658" w:rsidRPr="00D27274">
        <w:rPr>
          <w:rFonts w:asciiTheme="minorHAnsi" w:hAnsiTheme="minorHAnsi"/>
          <w:sz w:val="22"/>
          <w:szCs w:val="22"/>
        </w:rPr>
        <w:t>Το Διοικητικό Συμβούλιο μετά από τη συνεδρίασή του</w:t>
      </w:r>
      <w:r w:rsidR="000B2252" w:rsidRPr="00D27274">
        <w:rPr>
          <w:rFonts w:asciiTheme="minorHAnsi" w:hAnsiTheme="minorHAnsi"/>
          <w:sz w:val="22"/>
          <w:szCs w:val="22"/>
        </w:rPr>
        <w:t xml:space="preserve"> που φιλοξενήθηκε</w:t>
      </w:r>
      <w:r w:rsidR="00766658" w:rsidRPr="00D27274">
        <w:rPr>
          <w:rFonts w:asciiTheme="minorHAnsi" w:hAnsiTheme="minorHAnsi"/>
          <w:sz w:val="22"/>
          <w:szCs w:val="22"/>
        </w:rPr>
        <w:t xml:space="preserve"> στην Αθήνα στις 26.10.2023</w:t>
      </w:r>
      <w:r w:rsidR="008E268A" w:rsidRPr="00D27274">
        <w:rPr>
          <w:rFonts w:asciiTheme="minorHAnsi" w:hAnsiTheme="minorHAnsi"/>
          <w:sz w:val="22"/>
          <w:szCs w:val="22"/>
        </w:rPr>
        <w:t xml:space="preserve"> </w:t>
      </w:r>
      <w:r w:rsidR="000B2252" w:rsidRPr="00D27274">
        <w:rPr>
          <w:rFonts w:asciiTheme="minorHAnsi" w:hAnsiTheme="minorHAnsi"/>
          <w:sz w:val="22"/>
          <w:szCs w:val="22"/>
        </w:rPr>
        <w:t xml:space="preserve">από την Τράπεζα της Ελλάδος. </w:t>
      </w:r>
    </w:p>
    <w:p w14:paraId="77C4C824" w14:textId="5D653AF5" w:rsidR="00766658" w:rsidRPr="00D27274" w:rsidRDefault="008E268A" w:rsidP="00D27274">
      <w:pPr>
        <w:spacing w:before="60" w:afterLines="60" w:after="144"/>
        <w:jc w:val="both"/>
        <w:rPr>
          <w:rFonts w:asciiTheme="minorHAnsi" w:hAnsiTheme="minorHAnsi"/>
          <w:sz w:val="22"/>
          <w:szCs w:val="22"/>
        </w:rPr>
      </w:pPr>
      <w:r w:rsidRPr="00D27274">
        <w:rPr>
          <w:rFonts w:asciiTheme="minorHAnsi" w:hAnsiTheme="minorHAnsi"/>
          <w:sz w:val="22"/>
          <w:szCs w:val="22"/>
        </w:rPr>
        <w:t xml:space="preserve">Στην πρώτη σειρά </w:t>
      </w:r>
      <w:r w:rsidR="004B3AF3" w:rsidRPr="00D27274">
        <w:rPr>
          <w:rFonts w:asciiTheme="minorHAnsi" w:hAnsiTheme="minorHAnsi"/>
          <w:sz w:val="22"/>
          <w:szCs w:val="22"/>
        </w:rPr>
        <w:t xml:space="preserve">διακρίνονται η Πρόεδρος </w:t>
      </w:r>
      <w:proofErr w:type="spellStart"/>
      <w:r w:rsidR="00B61340" w:rsidRPr="00D27274">
        <w:rPr>
          <w:rFonts w:asciiTheme="minorHAnsi" w:hAnsiTheme="minorHAnsi"/>
          <w:sz w:val="22"/>
          <w:szCs w:val="22"/>
        </w:rPr>
        <w:t>Christine</w:t>
      </w:r>
      <w:proofErr w:type="spellEnd"/>
      <w:r w:rsidR="00B61340" w:rsidRPr="00D27274">
        <w:rPr>
          <w:rFonts w:asciiTheme="minorHAnsi" w:hAnsiTheme="minorHAnsi"/>
          <w:sz w:val="22"/>
          <w:szCs w:val="22"/>
        </w:rPr>
        <w:t xml:space="preserve"> </w:t>
      </w:r>
      <w:proofErr w:type="spellStart"/>
      <w:r w:rsidR="00B61340" w:rsidRPr="00D27274">
        <w:rPr>
          <w:rFonts w:asciiTheme="minorHAnsi" w:hAnsiTheme="minorHAnsi"/>
          <w:sz w:val="22"/>
          <w:szCs w:val="22"/>
        </w:rPr>
        <w:t>Lagarde</w:t>
      </w:r>
      <w:proofErr w:type="spellEnd"/>
      <w:r w:rsidR="00642DBD" w:rsidRPr="00D27274">
        <w:rPr>
          <w:rFonts w:asciiTheme="minorHAnsi" w:hAnsiTheme="minorHAnsi"/>
          <w:sz w:val="22"/>
          <w:szCs w:val="22"/>
        </w:rPr>
        <w:t xml:space="preserve"> </w:t>
      </w:r>
      <w:r w:rsidR="004B3AF3" w:rsidRPr="00D27274">
        <w:rPr>
          <w:rFonts w:asciiTheme="minorHAnsi" w:hAnsiTheme="minorHAnsi"/>
          <w:sz w:val="22"/>
          <w:szCs w:val="22"/>
        </w:rPr>
        <w:t xml:space="preserve">και ο Αντιπρόεδρος της ΕΚΤ </w:t>
      </w:r>
      <w:proofErr w:type="spellStart"/>
      <w:r w:rsidR="00B61340" w:rsidRPr="00D27274">
        <w:rPr>
          <w:rFonts w:asciiTheme="minorHAnsi" w:hAnsiTheme="minorHAnsi"/>
          <w:sz w:val="22"/>
          <w:szCs w:val="22"/>
        </w:rPr>
        <w:t>Luis</w:t>
      </w:r>
      <w:proofErr w:type="spellEnd"/>
      <w:r w:rsidR="00B61340" w:rsidRPr="00D27274">
        <w:rPr>
          <w:rFonts w:asciiTheme="minorHAnsi" w:hAnsiTheme="minorHAnsi"/>
          <w:sz w:val="22"/>
          <w:szCs w:val="22"/>
        </w:rPr>
        <w:t xml:space="preserve"> de </w:t>
      </w:r>
      <w:proofErr w:type="spellStart"/>
      <w:r w:rsidR="00B61340" w:rsidRPr="00D27274">
        <w:rPr>
          <w:rFonts w:asciiTheme="minorHAnsi" w:hAnsiTheme="minorHAnsi"/>
          <w:sz w:val="22"/>
          <w:szCs w:val="22"/>
        </w:rPr>
        <w:t>Guindos</w:t>
      </w:r>
      <w:proofErr w:type="spellEnd"/>
      <w:r w:rsidR="004B3AF3" w:rsidRPr="00D27274">
        <w:rPr>
          <w:rFonts w:asciiTheme="minorHAnsi" w:hAnsiTheme="minorHAnsi"/>
          <w:sz w:val="22"/>
          <w:szCs w:val="22"/>
        </w:rPr>
        <w:t xml:space="preserve">, καθώς και ο Διοικητής της </w:t>
      </w:r>
      <w:r w:rsidR="00AC7515" w:rsidRPr="00D27274">
        <w:rPr>
          <w:rFonts w:asciiTheme="minorHAnsi" w:hAnsiTheme="minorHAnsi"/>
          <w:sz w:val="22"/>
          <w:szCs w:val="22"/>
        </w:rPr>
        <w:t>Τράπεζας της Ελλάδος</w:t>
      </w:r>
      <w:r w:rsidR="004B3AF3" w:rsidRPr="00D27274">
        <w:rPr>
          <w:rFonts w:asciiTheme="minorHAnsi" w:hAnsiTheme="minorHAnsi"/>
          <w:sz w:val="22"/>
          <w:szCs w:val="22"/>
        </w:rPr>
        <w:t xml:space="preserve">, Γιάννης Στουρνάρας. </w:t>
      </w:r>
    </w:p>
    <w:p w14:paraId="725D8850" w14:textId="77777777" w:rsidR="00766658" w:rsidRPr="005A2A7B" w:rsidRDefault="00766658" w:rsidP="00195ACF">
      <w:pPr>
        <w:jc w:val="both"/>
        <w:rPr>
          <w:rFonts w:asciiTheme="majorHAnsi" w:hAnsiTheme="majorHAnsi"/>
          <w:sz w:val="22"/>
          <w:szCs w:val="22"/>
        </w:rPr>
      </w:pPr>
    </w:p>
    <w:p w14:paraId="72487880" w14:textId="77777777" w:rsidR="005A2A7B" w:rsidRDefault="005A2A7B">
      <w:pPr>
        <w:spacing w:before="280" w:after="120"/>
        <w:rPr>
          <w:rFonts w:asciiTheme="minorHAnsi" w:hAnsiTheme="minorHAnsi"/>
          <w:b/>
          <w:color w:val="003087"/>
          <w:sz w:val="28"/>
        </w:rPr>
      </w:pPr>
    </w:p>
    <w:p w14:paraId="694BEB25" w14:textId="77777777" w:rsidR="005A2A7B" w:rsidRPr="0061075B" w:rsidRDefault="005A2A7B">
      <w:pPr>
        <w:spacing w:before="280" w:after="120"/>
        <w:rPr>
          <w:rFonts w:asciiTheme="minorHAnsi" w:hAnsiTheme="minorHAnsi"/>
          <w:b/>
          <w:color w:val="003087"/>
          <w:sz w:val="10"/>
          <w:szCs w:val="10"/>
        </w:rPr>
      </w:pPr>
    </w:p>
    <w:p w14:paraId="03F74576" w14:textId="77777777" w:rsidR="00EA6501" w:rsidRPr="0061075B" w:rsidRDefault="00EA6501" w:rsidP="00EA6501">
      <w:pPr>
        <w:pBdr>
          <w:bottom w:val="single" w:sz="4" w:space="1" w:color="C5D4EC"/>
        </w:pBdr>
        <w:spacing w:before="160" w:after="160"/>
        <w:rPr>
          <w:rFonts w:asciiTheme="minorHAnsi" w:hAnsiTheme="minorHAnsi"/>
          <w:sz w:val="10"/>
          <w:szCs w:val="10"/>
        </w:rPr>
      </w:pPr>
    </w:p>
    <w:p w14:paraId="0FC37498" w14:textId="1D11EA0A" w:rsidR="00F423B1" w:rsidRDefault="00DE6327">
      <w:pPr>
        <w:spacing w:before="280" w:after="120"/>
        <w:rPr>
          <w:rFonts w:asciiTheme="minorHAnsi" w:hAnsiTheme="minorHAnsi"/>
          <w:b/>
          <w:color w:val="003087"/>
          <w:sz w:val="28"/>
        </w:rPr>
      </w:pPr>
      <w:r w:rsidRPr="008A2F40">
        <w:rPr>
          <w:rFonts w:asciiTheme="minorHAnsi" w:hAnsiTheme="minorHAnsi"/>
          <w:b/>
          <w:color w:val="003087"/>
          <w:sz w:val="28"/>
        </w:rPr>
        <w:t>7</w:t>
      </w:r>
      <w:r w:rsidR="00C12D14" w:rsidRPr="008A2F40">
        <w:rPr>
          <w:rFonts w:asciiTheme="minorHAnsi" w:hAnsiTheme="minorHAnsi"/>
          <w:b/>
          <w:color w:val="003087"/>
          <w:sz w:val="28"/>
        </w:rPr>
        <w:t xml:space="preserve">. </w:t>
      </w:r>
      <w:r w:rsidR="003539E1">
        <w:rPr>
          <w:rFonts w:asciiTheme="minorHAnsi" w:hAnsiTheme="minorHAnsi"/>
          <w:b/>
          <w:color w:val="003087"/>
          <w:sz w:val="28"/>
        </w:rPr>
        <w:t>Ποια είναι τα ε</w:t>
      </w:r>
      <w:r w:rsidR="00AC2802" w:rsidRPr="00C2751A">
        <w:rPr>
          <w:rFonts w:asciiTheme="minorHAnsi" w:hAnsiTheme="minorHAnsi"/>
          <w:b/>
          <w:color w:val="003087"/>
          <w:sz w:val="28"/>
        </w:rPr>
        <w:t xml:space="preserve">ργαλεία </w:t>
      </w:r>
      <w:r w:rsidR="003539E1">
        <w:rPr>
          <w:rFonts w:asciiTheme="minorHAnsi" w:hAnsiTheme="minorHAnsi"/>
          <w:b/>
          <w:color w:val="003087"/>
          <w:sz w:val="28"/>
        </w:rPr>
        <w:t>της ν</w:t>
      </w:r>
      <w:r w:rsidR="00AC2802" w:rsidRPr="00C2751A">
        <w:rPr>
          <w:rFonts w:asciiTheme="minorHAnsi" w:hAnsiTheme="minorHAnsi"/>
          <w:b/>
          <w:color w:val="003087"/>
          <w:sz w:val="28"/>
        </w:rPr>
        <w:t xml:space="preserve">ομισματικής </w:t>
      </w:r>
      <w:r w:rsidR="003539E1">
        <w:rPr>
          <w:rFonts w:asciiTheme="minorHAnsi" w:hAnsiTheme="minorHAnsi"/>
          <w:b/>
          <w:color w:val="003087"/>
          <w:sz w:val="28"/>
        </w:rPr>
        <w:t>π</w:t>
      </w:r>
      <w:r w:rsidR="00AC2802" w:rsidRPr="00C2751A">
        <w:rPr>
          <w:rFonts w:asciiTheme="minorHAnsi" w:hAnsiTheme="minorHAnsi"/>
          <w:b/>
          <w:color w:val="003087"/>
          <w:sz w:val="28"/>
        </w:rPr>
        <w:t>ολιτικής</w:t>
      </w:r>
      <w:r w:rsidR="003539E1">
        <w:rPr>
          <w:rFonts w:asciiTheme="minorHAnsi" w:hAnsiTheme="minorHAnsi"/>
          <w:b/>
          <w:color w:val="003087"/>
          <w:sz w:val="28"/>
        </w:rPr>
        <w:t>;</w:t>
      </w:r>
    </w:p>
    <w:p w14:paraId="696A177C" w14:textId="784F9A89" w:rsidR="00745789" w:rsidRPr="00DD4736" w:rsidRDefault="00651621" w:rsidP="00DD4736">
      <w:pPr>
        <w:spacing w:before="60" w:afterLines="60" w:after="144"/>
        <w:jc w:val="both"/>
        <w:rPr>
          <w:rFonts w:asciiTheme="minorHAnsi" w:hAnsiTheme="minorHAnsi"/>
          <w:sz w:val="22"/>
          <w:szCs w:val="22"/>
        </w:rPr>
      </w:pPr>
      <w:r w:rsidRPr="00D22F91">
        <w:rPr>
          <w:rFonts w:asciiTheme="minorHAnsi" w:hAnsiTheme="minorHAnsi"/>
          <w:sz w:val="22"/>
          <w:szCs w:val="22"/>
        </w:rPr>
        <w:t>Τ</w:t>
      </w:r>
      <w:r w:rsidR="00254E09" w:rsidRPr="00C2751A">
        <w:rPr>
          <w:rFonts w:asciiTheme="minorHAnsi" w:hAnsiTheme="minorHAnsi"/>
          <w:sz w:val="22"/>
          <w:szCs w:val="22"/>
        </w:rPr>
        <w:t xml:space="preserve">α επιτόκια </w:t>
      </w:r>
      <w:r w:rsidRPr="00D22F91">
        <w:rPr>
          <w:rFonts w:asciiTheme="minorHAnsi" w:hAnsiTheme="minorHAnsi"/>
          <w:sz w:val="22"/>
          <w:szCs w:val="22"/>
        </w:rPr>
        <w:t xml:space="preserve">πολιτικής είναι </w:t>
      </w:r>
      <w:r w:rsidR="00254E09" w:rsidRPr="00D22F91">
        <w:rPr>
          <w:rFonts w:asciiTheme="minorHAnsi" w:hAnsiTheme="minorHAnsi"/>
          <w:sz w:val="22"/>
          <w:szCs w:val="22"/>
        </w:rPr>
        <w:t xml:space="preserve">τα επιτόκια </w:t>
      </w:r>
      <w:r w:rsidR="00254E09" w:rsidRPr="00C2751A">
        <w:rPr>
          <w:rFonts w:asciiTheme="minorHAnsi" w:hAnsiTheme="minorHAnsi"/>
          <w:sz w:val="22"/>
          <w:szCs w:val="22"/>
        </w:rPr>
        <w:t xml:space="preserve">που η Τράπεζα της Ελλάδος και οι υπόλοιπες εθνικές κεντρικές τράπεζες εφαρμόζουν στις πράξεις νομισματικής πολιτικής </w:t>
      </w:r>
      <w:r w:rsidR="00254E09">
        <w:rPr>
          <w:rFonts w:asciiTheme="minorHAnsi" w:hAnsiTheme="minorHAnsi"/>
          <w:sz w:val="22"/>
          <w:szCs w:val="22"/>
        </w:rPr>
        <w:t xml:space="preserve">που </w:t>
      </w:r>
      <w:r w:rsidRPr="00D22F91">
        <w:rPr>
          <w:rFonts w:asciiTheme="minorHAnsi" w:hAnsiTheme="minorHAnsi"/>
          <w:sz w:val="22"/>
          <w:szCs w:val="22"/>
        </w:rPr>
        <w:t xml:space="preserve">πραγματοποιούν </w:t>
      </w:r>
      <w:r w:rsidR="00254E09" w:rsidRPr="00C2751A">
        <w:rPr>
          <w:rFonts w:asciiTheme="minorHAnsi" w:hAnsiTheme="minorHAnsi"/>
          <w:sz w:val="22"/>
          <w:szCs w:val="22"/>
        </w:rPr>
        <w:t>με τις εμπορικές τράπεζες</w:t>
      </w:r>
      <w:r w:rsidR="003D4847" w:rsidRPr="00D22F91">
        <w:rPr>
          <w:rFonts w:asciiTheme="minorHAnsi" w:hAnsiTheme="minorHAnsi"/>
          <w:sz w:val="22"/>
          <w:szCs w:val="22"/>
        </w:rPr>
        <w:t xml:space="preserve"> στη χώρα τους</w:t>
      </w:r>
      <w:r w:rsidR="00C2751A" w:rsidRPr="00C2751A">
        <w:rPr>
          <w:rFonts w:asciiTheme="minorHAnsi" w:hAnsiTheme="minorHAnsi"/>
          <w:sz w:val="22"/>
          <w:szCs w:val="22"/>
        </w:rPr>
        <w:t>. Μέσω αυτών των πράξεων</w:t>
      </w:r>
      <w:r w:rsidR="00C2751A">
        <w:rPr>
          <w:rFonts w:asciiTheme="minorHAnsi" w:hAnsiTheme="minorHAnsi"/>
          <w:sz w:val="22"/>
          <w:szCs w:val="22"/>
        </w:rPr>
        <w:t xml:space="preserve"> </w:t>
      </w:r>
      <w:r w:rsidR="00C2751A" w:rsidRPr="00C2751A">
        <w:rPr>
          <w:rFonts w:asciiTheme="minorHAnsi" w:hAnsiTheme="minorHAnsi"/>
          <w:sz w:val="22"/>
          <w:szCs w:val="22"/>
        </w:rPr>
        <w:t xml:space="preserve">η Τράπεζα της Ελλάδος </w:t>
      </w:r>
      <w:r w:rsidR="00C2751A" w:rsidRPr="00D22F91">
        <w:rPr>
          <w:rFonts w:asciiTheme="minorHAnsi" w:hAnsiTheme="minorHAnsi"/>
          <w:sz w:val="22"/>
          <w:szCs w:val="22"/>
        </w:rPr>
        <w:t>χορηγ</w:t>
      </w:r>
      <w:r w:rsidR="00C2751A">
        <w:rPr>
          <w:rFonts w:asciiTheme="minorHAnsi" w:hAnsiTheme="minorHAnsi"/>
          <w:sz w:val="22"/>
          <w:szCs w:val="22"/>
        </w:rPr>
        <w:t>εί</w:t>
      </w:r>
      <w:r w:rsidR="00C2751A" w:rsidRPr="00D22F91">
        <w:rPr>
          <w:rFonts w:asciiTheme="minorHAnsi" w:hAnsiTheme="minorHAnsi"/>
          <w:sz w:val="22"/>
          <w:szCs w:val="22"/>
        </w:rPr>
        <w:t xml:space="preserve"> ρευστότητα </w:t>
      </w:r>
      <w:r w:rsidR="00C2751A">
        <w:rPr>
          <w:rFonts w:asciiTheme="minorHAnsi" w:hAnsiTheme="minorHAnsi"/>
          <w:sz w:val="22"/>
          <w:szCs w:val="22"/>
        </w:rPr>
        <w:t xml:space="preserve">ή </w:t>
      </w:r>
      <w:r w:rsidRPr="00D22F91">
        <w:rPr>
          <w:rFonts w:asciiTheme="minorHAnsi" w:hAnsiTheme="minorHAnsi"/>
          <w:sz w:val="22"/>
          <w:szCs w:val="22"/>
        </w:rPr>
        <w:t>δέχ</w:t>
      </w:r>
      <w:r w:rsidR="00C2751A">
        <w:rPr>
          <w:rFonts w:asciiTheme="minorHAnsi" w:hAnsiTheme="minorHAnsi"/>
          <w:sz w:val="22"/>
          <w:szCs w:val="22"/>
        </w:rPr>
        <w:t>εται</w:t>
      </w:r>
      <w:r w:rsidR="00063DE0" w:rsidRPr="00D22F91">
        <w:rPr>
          <w:rFonts w:asciiTheme="minorHAnsi" w:hAnsiTheme="minorHAnsi"/>
          <w:sz w:val="22"/>
          <w:szCs w:val="22"/>
        </w:rPr>
        <w:t xml:space="preserve"> καταθέσεις από </w:t>
      </w:r>
      <w:r w:rsidR="00DD4736">
        <w:rPr>
          <w:rFonts w:asciiTheme="minorHAnsi" w:hAnsiTheme="minorHAnsi"/>
          <w:sz w:val="22"/>
          <w:szCs w:val="22"/>
        </w:rPr>
        <w:t>τις τράπεζες στην Ελλάδα</w:t>
      </w:r>
      <w:r w:rsidR="006537D2" w:rsidRPr="00D22F91">
        <w:rPr>
          <w:rFonts w:asciiTheme="minorHAnsi" w:hAnsiTheme="minorHAnsi"/>
          <w:sz w:val="22"/>
          <w:szCs w:val="22"/>
        </w:rPr>
        <w:t xml:space="preserve">, </w:t>
      </w:r>
      <w:r w:rsidR="00C2751A" w:rsidRPr="00C2751A">
        <w:rPr>
          <w:rFonts w:asciiTheme="minorHAnsi" w:hAnsiTheme="minorHAnsi"/>
          <w:sz w:val="22"/>
          <w:szCs w:val="22"/>
        </w:rPr>
        <w:t>λειτουργώντας</w:t>
      </w:r>
      <w:r w:rsidR="006537D2" w:rsidRPr="00D22F91">
        <w:rPr>
          <w:rFonts w:asciiTheme="minorHAnsi" w:hAnsiTheme="minorHAnsi"/>
          <w:sz w:val="22"/>
          <w:szCs w:val="22"/>
        </w:rPr>
        <w:t xml:space="preserve"> ως </w:t>
      </w:r>
      <w:r w:rsidR="00C2751A" w:rsidRPr="00C2751A">
        <w:rPr>
          <w:rFonts w:asciiTheme="minorHAnsi" w:hAnsiTheme="minorHAnsi"/>
          <w:sz w:val="22"/>
          <w:szCs w:val="22"/>
        </w:rPr>
        <w:t>«</w:t>
      </w:r>
      <w:r w:rsidR="00745789" w:rsidRPr="00C2751A">
        <w:rPr>
          <w:rFonts w:asciiTheme="minorHAnsi" w:hAnsiTheme="minorHAnsi"/>
          <w:sz w:val="22"/>
          <w:szCs w:val="22"/>
        </w:rPr>
        <w:t>τράπεζα των τραπεζών</w:t>
      </w:r>
      <w:r w:rsidR="00C2751A" w:rsidRPr="00C2751A">
        <w:rPr>
          <w:rFonts w:asciiTheme="minorHAnsi" w:hAnsiTheme="minorHAnsi"/>
          <w:sz w:val="22"/>
          <w:szCs w:val="22"/>
        </w:rPr>
        <w:t>»</w:t>
      </w:r>
      <w:r w:rsidR="00745789" w:rsidRPr="00DD4736">
        <w:rPr>
          <w:rFonts w:asciiTheme="minorHAnsi" w:hAnsiTheme="minorHAnsi"/>
          <w:sz w:val="22"/>
          <w:szCs w:val="22"/>
        </w:rPr>
        <w:t xml:space="preserve">. </w:t>
      </w:r>
    </w:p>
    <w:p w14:paraId="53AB431F" w14:textId="77777777" w:rsidR="0061075B" w:rsidRPr="00760CEE" w:rsidRDefault="0061075B" w:rsidP="0061075B">
      <w:pPr>
        <w:pStyle w:val="IntenseQuote"/>
        <w:ind w:left="567" w:right="532" w:firstLine="142"/>
        <w:rPr>
          <w:rFonts w:asciiTheme="minorHAnsi" w:hAnsiTheme="minorHAnsi"/>
          <w:sz w:val="24"/>
          <w:szCs w:val="24"/>
        </w:rPr>
      </w:pPr>
      <w:r>
        <w:rPr>
          <w:rFonts w:ascii="Aptos Display" w:hAnsi="Aptos Display"/>
          <w:sz w:val="22"/>
          <w:szCs w:val="22"/>
        </w:rPr>
        <w:tab/>
      </w:r>
      <w:r w:rsidRPr="00760CEE">
        <w:rPr>
          <w:rFonts w:asciiTheme="minorHAnsi" w:hAnsiTheme="minorHAnsi"/>
          <w:sz w:val="24"/>
          <w:szCs w:val="24"/>
        </w:rPr>
        <w:t xml:space="preserve">Το βασικό μέσο άσκησης της νομισματικής πολιτικής είναι τα επιτόκια πολιτικής. </w:t>
      </w:r>
    </w:p>
    <w:tbl>
      <w:tblPr>
        <w:tblW w:w="10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21"/>
        <w:gridCol w:w="566"/>
        <w:gridCol w:w="4680"/>
      </w:tblGrid>
      <w:tr w:rsidR="00815A89" w:rsidRPr="00815A89" w14:paraId="10C5B586" w14:textId="77777777" w:rsidTr="000C5A29">
        <w:trPr>
          <w:jc w:val="center"/>
        </w:trPr>
        <w:tc>
          <w:tcPr>
            <w:tcW w:w="4821" w:type="dxa"/>
            <w:tcBorders>
              <w:top w:val="none" w:sz="0" w:space="0" w:color="FFFFFF"/>
              <w:left w:val="none" w:sz="0" w:space="0" w:color="FFFFFF"/>
              <w:bottom w:val="none" w:sz="0" w:space="0" w:color="FFFFFF"/>
              <w:right w:val="none" w:sz="0" w:space="0" w:color="FFFFFF"/>
            </w:tcBorders>
            <w:shd w:val="clear" w:color="auto" w:fill="1565C0"/>
            <w:tcMar>
              <w:top w:w="200" w:type="dxa"/>
              <w:left w:w="300" w:type="dxa"/>
              <w:bottom w:w="200" w:type="dxa"/>
              <w:right w:w="300" w:type="dxa"/>
            </w:tcMar>
          </w:tcPr>
          <w:p w14:paraId="29C5C9D1" w14:textId="4FEAB8F8" w:rsidR="00815A89" w:rsidRPr="00815A89" w:rsidRDefault="00815A89" w:rsidP="000C5A29">
            <w:pPr>
              <w:jc w:val="center"/>
              <w:rPr>
                <w:rFonts w:asciiTheme="majorHAnsi" w:hAnsiTheme="majorHAnsi"/>
                <w:b/>
                <w:color w:val="FFFFFF" w:themeColor="background1"/>
                <w:sz w:val="22"/>
                <w:szCs w:val="22"/>
              </w:rPr>
            </w:pPr>
            <w:r w:rsidRPr="00815A89">
              <w:rPr>
                <w:rFonts w:asciiTheme="majorHAnsi" w:hAnsiTheme="majorHAnsi"/>
                <w:b/>
                <w:bCs/>
                <w:color w:val="FFFFFF" w:themeColor="background1"/>
                <w:sz w:val="22"/>
                <w:szCs w:val="22"/>
              </w:rPr>
              <w:t>% Επιτόκιο</w:t>
            </w:r>
          </w:p>
        </w:tc>
        <w:tc>
          <w:tcPr>
            <w:tcW w:w="5244" w:type="dxa"/>
            <w:gridSpan w:val="2"/>
            <w:tcBorders>
              <w:top w:val="none" w:sz="0" w:space="0" w:color="FFFFFF"/>
              <w:left w:val="none" w:sz="0" w:space="0" w:color="FFFFFF"/>
              <w:bottom w:val="none" w:sz="0" w:space="0" w:color="FFFFFF"/>
              <w:right w:val="none" w:sz="0" w:space="0" w:color="FFFFFF"/>
            </w:tcBorders>
            <w:shd w:val="clear" w:color="auto" w:fill="1565C0"/>
          </w:tcPr>
          <w:p w14:paraId="76E38080" w14:textId="6C471185" w:rsidR="00815A89" w:rsidRPr="00815A89" w:rsidRDefault="00815A89" w:rsidP="00815A89">
            <w:pPr>
              <w:spacing w:after="120"/>
              <w:jc w:val="center"/>
              <w:rPr>
                <w:rFonts w:asciiTheme="majorHAnsi" w:hAnsiTheme="majorHAnsi"/>
                <w:color w:val="FFFFFF" w:themeColor="background1"/>
                <w:sz w:val="22"/>
                <w:szCs w:val="22"/>
              </w:rPr>
            </w:pPr>
            <w:r w:rsidRPr="00815A89">
              <w:rPr>
                <w:rFonts w:asciiTheme="majorHAnsi" w:hAnsiTheme="majorHAnsi"/>
                <w:b/>
                <w:bCs/>
                <w:color w:val="FFFFFF" w:themeColor="background1"/>
                <w:sz w:val="22"/>
                <w:szCs w:val="22"/>
              </w:rPr>
              <w:t>€ Τόκος</w:t>
            </w:r>
          </w:p>
        </w:tc>
      </w:tr>
      <w:tr w:rsidR="00E66B00" w14:paraId="44BA5636" w14:textId="77777777" w:rsidTr="000C5A29">
        <w:trPr>
          <w:jc w:val="center"/>
        </w:trPr>
        <w:tc>
          <w:tcPr>
            <w:tcW w:w="5387" w:type="dxa"/>
            <w:gridSpan w:val="2"/>
            <w:tcBorders>
              <w:top w:val="none" w:sz="0" w:space="0" w:color="FFFFFF"/>
              <w:left w:val="none" w:sz="0" w:space="0" w:color="FFFFFF"/>
              <w:bottom w:val="none" w:sz="0" w:space="0" w:color="FFFFFF"/>
              <w:right w:val="none" w:sz="0" w:space="0" w:color="FFFFFF"/>
            </w:tcBorders>
            <w:shd w:val="clear" w:color="auto" w:fill="DAE9F7" w:themeFill="text2" w:themeFillTint="1A"/>
            <w:tcMar>
              <w:top w:w="200" w:type="dxa"/>
              <w:left w:w="300" w:type="dxa"/>
              <w:bottom w:w="200" w:type="dxa"/>
              <w:right w:w="300" w:type="dxa"/>
            </w:tcMar>
          </w:tcPr>
          <w:p w14:paraId="122CA4D3" w14:textId="77777777" w:rsidR="002A5F3D" w:rsidRDefault="00E66B00" w:rsidP="002A5F3D">
            <w:pPr>
              <w:spacing w:after="140"/>
              <w:jc w:val="both"/>
              <w:rPr>
                <w:rFonts w:asciiTheme="majorHAnsi" w:hAnsiTheme="majorHAnsi"/>
                <w:color w:val="444444"/>
                <w:sz w:val="22"/>
                <w:szCs w:val="22"/>
              </w:rPr>
            </w:pPr>
            <w:r w:rsidRPr="00015275">
              <w:rPr>
                <w:rFonts w:asciiTheme="majorHAnsi" w:hAnsiTheme="majorHAnsi"/>
                <w:color w:val="444444"/>
                <w:sz w:val="22"/>
                <w:szCs w:val="22"/>
              </w:rPr>
              <w:t>Επιτόκιο είναι το ποσοστό με το οποίο υπολογίζεται το κόστος του δανεισμού ή η απόδοση των αποταμιεύσεων σε ετήσια βάση.</w:t>
            </w:r>
          </w:p>
          <w:p w14:paraId="35763EFC" w14:textId="4DC02CAF" w:rsidR="00E66B00" w:rsidRPr="00015275" w:rsidRDefault="00E66B00" w:rsidP="002A5F3D">
            <w:pPr>
              <w:spacing w:after="140"/>
              <w:jc w:val="both"/>
              <w:rPr>
                <w:rFonts w:asciiTheme="majorHAnsi" w:hAnsiTheme="majorHAnsi"/>
                <w:b/>
                <w:bCs/>
                <w:color w:val="1565C0"/>
                <w:sz w:val="22"/>
                <w:szCs w:val="22"/>
              </w:rPr>
            </w:pPr>
            <w:r w:rsidRPr="00015275">
              <w:rPr>
                <w:rFonts w:asciiTheme="majorHAnsi" w:hAnsiTheme="majorHAnsi"/>
                <w:color w:val="444444"/>
                <w:sz w:val="22"/>
                <w:szCs w:val="22"/>
              </w:rPr>
              <w:t>Εκφράζει δηλαδή την «τιμή» του χρήματος</w:t>
            </w:r>
            <w:r w:rsidR="0047553C">
              <w:rPr>
                <w:rFonts w:asciiTheme="majorHAnsi" w:hAnsiTheme="majorHAnsi"/>
                <w:color w:val="444444"/>
                <w:sz w:val="22"/>
                <w:szCs w:val="22"/>
              </w:rPr>
              <w:t>:</w:t>
            </w:r>
            <w:r w:rsidRPr="00015275">
              <w:rPr>
                <w:rFonts w:asciiTheme="majorHAnsi" w:hAnsiTheme="majorHAnsi"/>
                <w:color w:val="444444"/>
                <w:sz w:val="22"/>
                <w:szCs w:val="22"/>
              </w:rPr>
              <w:t xml:space="preserve"> πόσο κοστίζει να δανειστείς χρήματα ή πόσο αποδίδει να τα καταθέσεις.</w:t>
            </w:r>
          </w:p>
        </w:tc>
        <w:tc>
          <w:tcPr>
            <w:tcW w:w="4680" w:type="dxa"/>
            <w:tcBorders>
              <w:top w:val="none" w:sz="0" w:space="0" w:color="FFFFFF"/>
              <w:left w:val="none" w:sz="0" w:space="0" w:color="FFFFFF"/>
              <w:bottom w:val="none" w:sz="0" w:space="0" w:color="FFFFFF"/>
              <w:right w:val="none" w:sz="0" w:space="0" w:color="FFFFFF"/>
            </w:tcBorders>
            <w:shd w:val="clear" w:color="auto" w:fill="DAE9F7" w:themeFill="text2" w:themeFillTint="1A"/>
          </w:tcPr>
          <w:p w14:paraId="21322E57" w14:textId="77777777" w:rsidR="00E66B00" w:rsidRPr="00015275" w:rsidRDefault="00E66B00" w:rsidP="0047553C">
            <w:pPr>
              <w:spacing w:after="140"/>
              <w:jc w:val="both"/>
              <w:rPr>
                <w:rFonts w:asciiTheme="majorHAnsi" w:hAnsiTheme="majorHAnsi"/>
                <w:color w:val="444444"/>
                <w:sz w:val="22"/>
                <w:szCs w:val="22"/>
              </w:rPr>
            </w:pPr>
            <w:r w:rsidRPr="00015275">
              <w:rPr>
                <w:rFonts w:asciiTheme="majorHAnsi" w:hAnsiTheme="majorHAnsi"/>
                <w:color w:val="444444"/>
                <w:sz w:val="22"/>
                <w:szCs w:val="22"/>
              </w:rPr>
              <w:t xml:space="preserve">Τόκος είναι το χρηματικό ποσό που προκύπτει από την εφαρμογή του επιτοκίου επί του κεφαλαίου. </w:t>
            </w:r>
          </w:p>
          <w:p w14:paraId="08F5473B" w14:textId="05BDA2C2" w:rsidR="00E66B00" w:rsidRPr="00015275" w:rsidRDefault="00E66B00" w:rsidP="0047553C">
            <w:pPr>
              <w:spacing w:after="140"/>
              <w:jc w:val="both"/>
              <w:rPr>
                <w:rFonts w:asciiTheme="majorHAnsi" w:hAnsiTheme="majorHAnsi"/>
                <w:b/>
                <w:bCs/>
                <w:color w:val="FFFFFF"/>
                <w:sz w:val="22"/>
                <w:szCs w:val="22"/>
              </w:rPr>
            </w:pPr>
            <w:r w:rsidRPr="00015275">
              <w:rPr>
                <w:rFonts w:asciiTheme="majorHAnsi" w:hAnsiTheme="majorHAnsi"/>
                <w:color w:val="444444"/>
                <w:sz w:val="22"/>
                <w:szCs w:val="22"/>
              </w:rPr>
              <w:t>Για τον δανειολήπτη αποτελεί το κόστος του δανείου, για τον αποταμιευτή την αμοιβή για την κατάθεσή του.</w:t>
            </w:r>
          </w:p>
        </w:tc>
      </w:tr>
    </w:tbl>
    <w:p w14:paraId="4210B6C1" w14:textId="77777777" w:rsidR="00A03692" w:rsidRDefault="00A03692" w:rsidP="00254E09">
      <w:pPr>
        <w:jc w:val="both"/>
        <w:rPr>
          <w:rFonts w:asciiTheme="minorHAnsi" w:hAnsiTheme="minorHAnsi"/>
          <w:sz w:val="22"/>
          <w:szCs w:val="22"/>
        </w:rPr>
      </w:pPr>
    </w:p>
    <w:p w14:paraId="2D9A07FC" w14:textId="77777777" w:rsidR="00A03692" w:rsidRDefault="00A03692" w:rsidP="00254E09">
      <w:pPr>
        <w:jc w:val="both"/>
        <w:rPr>
          <w:rFonts w:asciiTheme="minorHAnsi" w:hAnsiTheme="minorHAnsi"/>
          <w:sz w:val="22"/>
          <w:szCs w:val="22"/>
        </w:rPr>
      </w:pPr>
    </w:p>
    <w:p w14:paraId="7F841979" w14:textId="163FEDFF" w:rsidR="00254E09" w:rsidRPr="00372016" w:rsidRDefault="00254E09" w:rsidP="0047553C">
      <w:pPr>
        <w:spacing w:before="60" w:afterLines="60" w:after="144"/>
        <w:jc w:val="both"/>
        <w:rPr>
          <w:rFonts w:asciiTheme="minorHAnsi" w:hAnsiTheme="minorHAnsi"/>
          <w:sz w:val="22"/>
          <w:szCs w:val="22"/>
        </w:rPr>
      </w:pPr>
      <w:r w:rsidRPr="008A2F40">
        <w:rPr>
          <w:rFonts w:asciiTheme="minorHAnsi" w:hAnsiTheme="minorHAnsi"/>
          <w:sz w:val="22"/>
          <w:szCs w:val="22"/>
        </w:rPr>
        <w:lastRenderedPageBreak/>
        <w:t xml:space="preserve">Τα επιτόκια </w:t>
      </w:r>
      <w:r w:rsidR="002E03B8" w:rsidRPr="00D22F91">
        <w:rPr>
          <w:rFonts w:asciiTheme="minorHAnsi" w:hAnsiTheme="minorHAnsi"/>
          <w:sz w:val="22"/>
          <w:szCs w:val="22"/>
        </w:rPr>
        <w:t>πολιτικής</w:t>
      </w:r>
      <w:r w:rsidR="006537D2" w:rsidRPr="00D22F91">
        <w:rPr>
          <w:rFonts w:asciiTheme="minorHAnsi" w:hAnsiTheme="minorHAnsi"/>
          <w:sz w:val="22"/>
          <w:szCs w:val="22"/>
        </w:rPr>
        <w:t xml:space="preserve"> του Ευρωσυστήματος</w:t>
      </w:r>
      <w:r w:rsidRPr="00372016">
        <w:rPr>
          <w:rFonts w:asciiTheme="minorHAnsi" w:hAnsiTheme="minorHAnsi"/>
          <w:sz w:val="22"/>
          <w:szCs w:val="22"/>
        </w:rPr>
        <w:t xml:space="preserve"> είναι τρία: </w:t>
      </w:r>
    </w:p>
    <w:p w14:paraId="080B1C0D" w14:textId="7329B5DD" w:rsidR="00254E09" w:rsidRPr="0047553C" w:rsidRDefault="00254E09" w:rsidP="0047553C">
      <w:pPr>
        <w:pStyle w:val="ListParagraph"/>
        <w:numPr>
          <w:ilvl w:val="0"/>
          <w:numId w:val="12"/>
        </w:numPr>
        <w:spacing w:before="60" w:afterLines="60" w:after="144"/>
        <w:jc w:val="both"/>
        <w:rPr>
          <w:rFonts w:asciiTheme="minorHAnsi" w:hAnsiTheme="minorHAnsi"/>
          <w:sz w:val="22"/>
          <w:szCs w:val="22"/>
        </w:rPr>
      </w:pPr>
      <w:r w:rsidRPr="0047553C">
        <w:rPr>
          <w:rFonts w:asciiTheme="minorHAnsi" w:hAnsiTheme="minorHAnsi"/>
          <w:sz w:val="22"/>
          <w:szCs w:val="22"/>
        </w:rPr>
        <w:t xml:space="preserve">Το επιτόκιο της διευκόλυνσης αποδοχής καταθέσεων: Είναι το επιτόκιο με το οποίο καθορίζεται ο τόκος που οι εμπορικές τράπεζες λαμβάνουν όταν καταθέτουν ρευστότητα στην κεντρική τράπεζα για χρονικό διάστημα μίας ημέρας. </w:t>
      </w:r>
    </w:p>
    <w:p w14:paraId="2D3FDA38" w14:textId="3976A256" w:rsidR="008E18C2" w:rsidRPr="0047553C" w:rsidRDefault="00254E09" w:rsidP="0047553C">
      <w:pPr>
        <w:pStyle w:val="ListParagraph"/>
        <w:numPr>
          <w:ilvl w:val="0"/>
          <w:numId w:val="12"/>
        </w:numPr>
        <w:spacing w:before="60" w:afterLines="60" w:after="144"/>
        <w:jc w:val="both"/>
        <w:rPr>
          <w:rFonts w:asciiTheme="minorHAnsi" w:hAnsiTheme="minorHAnsi"/>
          <w:sz w:val="22"/>
          <w:szCs w:val="22"/>
        </w:rPr>
      </w:pPr>
      <w:r w:rsidRPr="0047553C">
        <w:rPr>
          <w:rFonts w:asciiTheme="minorHAnsi" w:hAnsiTheme="minorHAnsi"/>
          <w:sz w:val="22"/>
          <w:szCs w:val="22"/>
        </w:rPr>
        <w:t xml:space="preserve">Το επιτόκιο των πράξεων κύριας </w:t>
      </w:r>
      <w:proofErr w:type="spellStart"/>
      <w:r w:rsidRPr="0047553C">
        <w:rPr>
          <w:rFonts w:asciiTheme="minorHAnsi" w:hAnsiTheme="minorHAnsi"/>
          <w:sz w:val="22"/>
          <w:szCs w:val="22"/>
        </w:rPr>
        <w:t>αναχρηματοδότησης</w:t>
      </w:r>
      <w:proofErr w:type="spellEnd"/>
      <w:r w:rsidRPr="0047553C">
        <w:rPr>
          <w:rFonts w:asciiTheme="minorHAnsi" w:hAnsiTheme="minorHAnsi"/>
          <w:sz w:val="22"/>
          <w:szCs w:val="22"/>
        </w:rPr>
        <w:t>: Είναι το επιτόκιο με το οποίο οι εμπορικές τράπεζες δανείζονται</w:t>
      </w:r>
      <w:r w:rsidR="00F77306" w:rsidRPr="0047553C">
        <w:rPr>
          <w:rFonts w:asciiTheme="minorHAnsi" w:hAnsiTheme="minorHAnsi"/>
          <w:sz w:val="22"/>
          <w:szCs w:val="22"/>
        </w:rPr>
        <w:t xml:space="preserve"> ρευστότητα</w:t>
      </w:r>
      <w:r w:rsidRPr="0047553C">
        <w:rPr>
          <w:rFonts w:asciiTheme="minorHAnsi" w:hAnsiTheme="minorHAnsi"/>
          <w:sz w:val="22"/>
          <w:szCs w:val="22"/>
        </w:rPr>
        <w:t xml:space="preserve"> από την κεντρική τράπεζα, παρέχοντας</w:t>
      </w:r>
      <w:r w:rsidRPr="0047553C" w:rsidDel="006537D2">
        <w:rPr>
          <w:rFonts w:asciiTheme="minorHAnsi" w:hAnsiTheme="minorHAnsi"/>
          <w:sz w:val="22"/>
          <w:szCs w:val="22"/>
        </w:rPr>
        <w:t xml:space="preserve"> </w:t>
      </w:r>
      <w:r w:rsidR="00F77306" w:rsidRPr="0047553C">
        <w:rPr>
          <w:rFonts w:asciiTheme="minorHAnsi" w:hAnsiTheme="minorHAnsi"/>
          <w:sz w:val="22"/>
          <w:szCs w:val="22"/>
        </w:rPr>
        <w:t>εξασφαλίσεις</w:t>
      </w:r>
      <w:r w:rsidRPr="0047553C">
        <w:rPr>
          <w:rFonts w:asciiTheme="minorHAnsi" w:hAnsiTheme="minorHAnsi"/>
          <w:sz w:val="22"/>
          <w:szCs w:val="22"/>
        </w:rPr>
        <w:t xml:space="preserve">, για χρονικό διάστημα μίας εβδομάδας. </w:t>
      </w:r>
    </w:p>
    <w:p w14:paraId="465B2DD9" w14:textId="025C38D1" w:rsidR="008E18C2" w:rsidRPr="0047553C" w:rsidRDefault="00254E09" w:rsidP="0047553C">
      <w:pPr>
        <w:pStyle w:val="ListParagraph"/>
        <w:numPr>
          <w:ilvl w:val="0"/>
          <w:numId w:val="12"/>
        </w:numPr>
        <w:spacing w:before="60" w:afterLines="60" w:after="144"/>
        <w:jc w:val="both"/>
        <w:rPr>
          <w:rFonts w:asciiTheme="minorHAnsi" w:hAnsiTheme="minorHAnsi"/>
          <w:sz w:val="22"/>
          <w:szCs w:val="22"/>
        </w:rPr>
      </w:pPr>
      <w:r w:rsidRPr="0047553C">
        <w:rPr>
          <w:rFonts w:asciiTheme="minorHAnsi" w:hAnsiTheme="minorHAnsi"/>
          <w:sz w:val="22"/>
          <w:szCs w:val="22"/>
        </w:rPr>
        <w:t xml:space="preserve">Το επιτόκιο της διευκόλυνσης οριακής χρηματοδότησης: Είναι το επιτόκιο με το οποίο καθορίζεται ο τόκος που καταβάλλουν οι τράπεζες όταν δανείζονται </w:t>
      </w:r>
      <w:r w:rsidR="006537D2" w:rsidRPr="0047553C">
        <w:rPr>
          <w:rFonts w:asciiTheme="minorHAnsi" w:hAnsiTheme="minorHAnsi"/>
          <w:sz w:val="22"/>
          <w:szCs w:val="22"/>
        </w:rPr>
        <w:t xml:space="preserve">ρευστότητα </w:t>
      </w:r>
      <w:r w:rsidRPr="0047553C">
        <w:rPr>
          <w:rFonts w:asciiTheme="minorHAnsi" w:hAnsiTheme="minorHAnsi"/>
          <w:sz w:val="22"/>
          <w:szCs w:val="22"/>
        </w:rPr>
        <w:t xml:space="preserve">από την κεντρική τράπεζα για χρονικό διάστημα μίας ημέρας. </w:t>
      </w:r>
    </w:p>
    <w:p w14:paraId="17B5D23E" w14:textId="77777777" w:rsidR="0016230A" w:rsidRPr="00D22F91" w:rsidRDefault="0016230A" w:rsidP="003C230F">
      <w:pPr>
        <w:pStyle w:val="ListParagraph"/>
        <w:ind w:left="714"/>
        <w:jc w:val="both"/>
        <w:rPr>
          <w:rFonts w:asciiTheme="minorHAnsi" w:hAnsiTheme="minorHAnsi"/>
          <w:sz w:val="22"/>
          <w:szCs w:val="22"/>
          <w:highlight w:val="green"/>
        </w:rPr>
      </w:pPr>
    </w:p>
    <w:p w14:paraId="3167AB0B" w14:textId="77777777" w:rsidR="004F06CE" w:rsidRDefault="0016230A" w:rsidP="004F06CE">
      <w:pPr>
        <w:pStyle w:val="ListParagraph"/>
        <w:ind w:left="714"/>
        <w:jc w:val="both"/>
        <w:rPr>
          <w:rFonts w:asciiTheme="minorHAnsi" w:hAnsiTheme="minorHAnsi"/>
          <w:color w:val="333333"/>
        </w:rPr>
      </w:pPr>
      <w:r w:rsidRPr="004F06CE">
        <w:rPr>
          <w:rFonts w:asciiTheme="minorHAnsi" w:hAnsiTheme="minorHAnsi"/>
          <w:color w:val="333333"/>
        </w:rPr>
        <w:t>Διάγραμμα 2: Βασικά επιτόκια της Ευρωπαϊκής Κεντρικής Τράπεζας (ποσοστ</w:t>
      </w:r>
      <w:r w:rsidR="007E16E7" w:rsidRPr="004F06CE">
        <w:rPr>
          <w:rFonts w:asciiTheme="minorHAnsi" w:hAnsiTheme="minorHAnsi"/>
          <w:color w:val="333333"/>
        </w:rPr>
        <w:t>ό</w:t>
      </w:r>
      <w:r w:rsidRPr="004F06CE">
        <w:rPr>
          <w:rFonts w:asciiTheme="minorHAnsi" w:hAnsiTheme="minorHAnsi"/>
          <w:color w:val="333333"/>
        </w:rPr>
        <w:t xml:space="preserve">, </w:t>
      </w:r>
      <w:r w:rsidR="007E16E7" w:rsidRPr="004F06CE">
        <w:rPr>
          <w:rFonts w:asciiTheme="minorHAnsi" w:hAnsiTheme="minorHAnsi"/>
          <w:color w:val="333333"/>
        </w:rPr>
        <w:t>ημερήσια</w:t>
      </w:r>
      <w:r w:rsidRPr="004F06CE">
        <w:rPr>
          <w:rFonts w:asciiTheme="minorHAnsi" w:hAnsiTheme="minorHAnsi"/>
          <w:color w:val="333333"/>
        </w:rPr>
        <w:t xml:space="preserve"> στοιχεία)</w:t>
      </w:r>
    </w:p>
    <w:p w14:paraId="72AE7670" w14:textId="5111C2B6" w:rsidR="00F423B1" w:rsidRPr="004F06CE" w:rsidRDefault="00FF7B32" w:rsidP="004F06CE">
      <w:pPr>
        <w:pStyle w:val="ListParagraph"/>
        <w:ind w:left="284"/>
        <w:jc w:val="both"/>
      </w:pPr>
      <w:r w:rsidRPr="004F06CE">
        <w:rPr>
          <w:noProof/>
        </w:rPr>
        <w:drawing>
          <wp:inline distT="0" distB="0" distL="0" distR="0" wp14:anchorId="1E2A612D" wp14:editId="13D26BBE">
            <wp:extent cx="6143626" cy="3505200"/>
            <wp:effectExtent l="0" t="0" r="9525" b="0"/>
            <wp:docPr id="1915685802" name="Chart 1">
              <a:extLst xmlns:a="http://schemas.openxmlformats.org/drawingml/2006/main">
                <a:ext uri="{FF2B5EF4-FFF2-40B4-BE49-F238E27FC236}">
                  <a16:creationId xmlns:a16="http://schemas.microsoft.com/office/drawing/2014/main" id="{7EC72521-FA16-469D-AD17-D3113C17AD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EA29E0A" w14:textId="664468E2" w:rsidR="0016230A" w:rsidRPr="005E183C" w:rsidRDefault="0016230A" w:rsidP="005E183C">
      <w:pPr>
        <w:spacing w:before="60" w:after="120" w:line="216" w:lineRule="auto"/>
        <w:jc w:val="both"/>
        <w:rPr>
          <w:rFonts w:asciiTheme="minorHAnsi" w:hAnsiTheme="minorHAnsi"/>
          <w:color w:val="333333"/>
        </w:rPr>
      </w:pPr>
      <w:r w:rsidRPr="005E183C">
        <w:rPr>
          <w:rFonts w:asciiTheme="minorHAnsi" w:hAnsiTheme="minorHAnsi"/>
          <w:color w:val="333333"/>
        </w:rPr>
        <w:t>Πηγή: Ευρωπαϊκή Κεντρική Τράπεζα (ΕΚΤ)</w:t>
      </w:r>
      <w:r w:rsidR="00A84D1D" w:rsidRPr="005E183C">
        <w:rPr>
          <w:rFonts w:asciiTheme="minorHAnsi" w:hAnsiTheme="minorHAnsi"/>
          <w:color w:val="333333"/>
        </w:rPr>
        <w:t>.</w:t>
      </w:r>
      <w:r w:rsidRPr="005E183C">
        <w:rPr>
          <w:rFonts w:asciiTheme="minorHAnsi" w:hAnsiTheme="minorHAnsi"/>
          <w:color w:val="333333"/>
        </w:rPr>
        <w:t xml:space="preserve"> </w:t>
      </w:r>
      <w:r w:rsidR="007E16E7" w:rsidRPr="005E183C">
        <w:rPr>
          <w:rFonts w:asciiTheme="minorHAnsi" w:hAnsiTheme="minorHAnsi"/>
          <w:color w:val="333333"/>
        </w:rPr>
        <w:t>Ημερήσια</w:t>
      </w:r>
      <w:r w:rsidRPr="005E183C">
        <w:rPr>
          <w:rFonts w:asciiTheme="minorHAnsi" w:hAnsiTheme="minorHAnsi"/>
          <w:color w:val="333333"/>
        </w:rPr>
        <w:t xml:space="preserve"> στοιχεία </w:t>
      </w:r>
      <w:r w:rsidR="002A6F11" w:rsidRPr="005E183C">
        <w:rPr>
          <w:rFonts w:asciiTheme="minorHAnsi" w:hAnsiTheme="minorHAnsi"/>
          <w:color w:val="333333"/>
        </w:rPr>
        <w:t xml:space="preserve">για την περίοδο: </w:t>
      </w:r>
      <w:r w:rsidR="002A6F11" w:rsidRPr="005E183C">
        <w:rPr>
          <w:rFonts w:asciiTheme="minorHAnsi" w:hAnsiTheme="minorHAnsi"/>
        </w:rPr>
        <w:t xml:space="preserve">Ιανουάριος 2000 </w:t>
      </w:r>
      <w:r w:rsidR="00D54B1E" w:rsidRPr="005E183C">
        <w:rPr>
          <w:rFonts w:asciiTheme="minorHAnsi" w:hAnsiTheme="minorHAnsi"/>
        </w:rPr>
        <w:t xml:space="preserve">έως </w:t>
      </w:r>
      <w:r w:rsidR="002A6F11" w:rsidRPr="005E183C">
        <w:rPr>
          <w:rFonts w:asciiTheme="minorHAnsi" w:hAnsiTheme="minorHAnsi"/>
        </w:rPr>
        <w:t>Μάιος 2026</w:t>
      </w:r>
      <w:r w:rsidRPr="005E183C">
        <w:rPr>
          <w:rFonts w:asciiTheme="minorHAnsi" w:hAnsiTheme="minorHAnsi"/>
        </w:rPr>
        <w:t>.</w:t>
      </w:r>
    </w:p>
    <w:p w14:paraId="3DA753D5" w14:textId="77777777" w:rsidR="00760CEE" w:rsidRDefault="00760CEE" w:rsidP="00A50097">
      <w:pPr>
        <w:jc w:val="both"/>
        <w:rPr>
          <w:rFonts w:asciiTheme="minorHAnsi" w:hAnsiTheme="minorHAnsi"/>
          <w:color w:val="333333"/>
          <w:sz w:val="22"/>
          <w:szCs w:val="22"/>
        </w:rPr>
      </w:pPr>
    </w:p>
    <w:p w14:paraId="121AA8E5" w14:textId="7520E8A5" w:rsidR="00254E09" w:rsidRPr="004C3B9B" w:rsidRDefault="00254E09" w:rsidP="004C3B9B">
      <w:pPr>
        <w:spacing w:before="60" w:afterLines="60" w:after="144"/>
        <w:jc w:val="both"/>
        <w:rPr>
          <w:rFonts w:asciiTheme="minorHAnsi" w:hAnsiTheme="minorHAnsi"/>
          <w:sz w:val="22"/>
          <w:szCs w:val="22"/>
        </w:rPr>
      </w:pPr>
      <w:r w:rsidRPr="004C3B9B">
        <w:rPr>
          <w:rFonts w:asciiTheme="minorHAnsi" w:hAnsiTheme="minorHAnsi"/>
          <w:sz w:val="22"/>
          <w:szCs w:val="22"/>
        </w:rPr>
        <w:t xml:space="preserve">Στην τρέχουσα συγκυρία, το επιτόκιο της διευκόλυνσης αποδοχής καταθέσεων </w:t>
      </w:r>
      <w:r w:rsidR="00A50097" w:rsidRPr="004C3B9B">
        <w:rPr>
          <w:rFonts w:asciiTheme="minorHAnsi" w:hAnsiTheme="minorHAnsi"/>
          <w:sz w:val="22"/>
          <w:szCs w:val="22"/>
        </w:rPr>
        <w:t>είναι καθοριστικό</w:t>
      </w:r>
      <w:r w:rsidRPr="004C3B9B">
        <w:rPr>
          <w:rFonts w:asciiTheme="minorHAnsi" w:hAnsiTheme="minorHAnsi"/>
          <w:sz w:val="22"/>
          <w:szCs w:val="22"/>
        </w:rPr>
        <w:t xml:space="preserve"> </w:t>
      </w:r>
      <w:r w:rsidR="00104A2F" w:rsidRPr="004C3B9B">
        <w:rPr>
          <w:rFonts w:asciiTheme="minorHAnsi" w:hAnsiTheme="minorHAnsi"/>
          <w:sz w:val="22"/>
          <w:szCs w:val="22"/>
        </w:rPr>
        <w:t xml:space="preserve">για </w:t>
      </w:r>
      <w:r w:rsidRPr="004C3B9B">
        <w:rPr>
          <w:rFonts w:asciiTheme="minorHAnsi" w:hAnsiTheme="minorHAnsi"/>
          <w:sz w:val="22"/>
          <w:szCs w:val="22"/>
        </w:rPr>
        <w:t>την κατεύθυνση της νομισματικής πολιτικής. Αυτό σημαίνει με απλά λόγια</w:t>
      </w:r>
      <w:r w:rsidR="00A50097" w:rsidRPr="004C3B9B">
        <w:rPr>
          <w:rFonts w:asciiTheme="minorHAnsi" w:hAnsiTheme="minorHAnsi"/>
          <w:sz w:val="22"/>
          <w:szCs w:val="22"/>
        </w:rPr>
        <w:t>,</w:t>
      </w:r>
      <w:r w:rsidRPr="004C3B9B">
        <w:rPr>
          <w:rFonts w:asciiTheme="minorHAnsi" w:hAnsiTheme="minorHAnsi"/>
          <w:sz w:val="22"/>
          <w:szCs w:val="22"/>
        </w:rPr>
        <w:t xml:space="preserve"> ότι </w:t>
      </w:r>
      <w:r w:rsidR="00104A2F" w:rsidRPr="004C3B9B">
        <w:rPr>
          <w:rFonts w:asciiTheme="minorHAnsi" w:hAnsiTheme="minorHAnsi"/>
          <w:sz w:val="22"/>
          <w:szCs w:val="22"/>
        </w:rPr>
        <w:t>το επίπεδο</w:t>
      </w:r>
      <w:r w:rsidRPr="004C3B9B">
        <w:rPr>
          <w:rFonts w:asciiTheme="minorHAnsi" w:hAnsiTheme="minorHAnsi"/>
          <w:sz w:val="22"/>
          <w:szCs w:val="22"/>
        </w:rPr>
        <w:t xml:space="preserve"> και οι μεταβολές του επιτοκίου αυτού </w:t>
      </w:r>
      <w:r w:rsidR="00A50097" w:rsidRPr="004C3B9B">
        <w:rPr>
          <w:rFonts w:asciiTheme="minorHAnsi" w:hAnsiTheme="minorHAnsi"/>
          <w:sz w:val="22"/>
          <w:szCs w:val="22"/>
        </w:rPr>
        <w:t xml:space="preserve">επηρεάζουν </w:t>
      </w:r>
      <w:r w:rsidR="00A50097" w:rsidRPr="00760CEE">
        <w:rPr>
          <w:rFonts w:asciiTheme="minorHAnsi" w:hAnsiTheme="minorHAnsi"/>
          <w:sz w:val="22"/>
          <w:szCs w:val="22"/>
        </w:rPr>
        <w:t xml:space="preserve">το </w:t>
      </w:r>
      <w:r w:rsidR="00745789" w:rsidRPr="00760CEE">
        <w:rPr>
          <w:rFonts w:asciiTheme="minorHAnsi" w:hAnsiTheme="minorHAnsi"/>
          <w:sz w:val="22"/>
          <w:szCs w:val="22"/>
        </w:rPr>
        <w:t xml:space="preserve">ύψος </w:t>
      </w:r>
      <w:r w:rsidR="006537D2" w:rsidRPr="00760CEE">
        <w:rPr>
          <w:rFonts w:asciiTheme="minorHAnsi" w:hAnsiTheme="minorHAnsi"/>
          <w:sz w:val="22"/>
          <w:szCs w:val="22"/>
        </w:rPr>
        <w:t xml:space="preserve">των επιτοκίων που ορίζουν οι </w:t>
      </w:r>
      <w:r w:rsidR="00745789" w:rsidRPr="00760CEE">
        <w:rPr>
          <w:rFonts w:asciiTheme="minorHAnsi" w:hAnsiTheme="minorHAnsi"/>
          <w:sz w:val="22"/>
          <w:szCs w:val="22"/>
        </w:rPr>
        <w:t xml:space="preserve">εμπορικές τράπεζες </w:t>
      </w:r>
      <w:r w:rsidR="006537D2" w:rsidRPr="00760CEE">
        <w:rPr>
          <w:rFonts w:asciiTheme="minorHAnsi" w:hAnsiTheme="minorHAnsi"/>
          <w:sz w:val="22"/>
          <w:szCs w:val="22"/>
        </w:rPr>
        <w:t xml:space="preserve">στις καταθέσεις και τα δάνεια </w:t>
      </w:r>
      <w:r w:rsidR="00745789" w:rsidRPr="00760CEE">
        <w:rPr>
          <w:rFonts w:asciiTheme="minorHAnsi" w:hAnsiTheme="minorHAnsi"/>
          <w:sz w:val="22"/>
          <w:szCs w:val="22"/>
        </w:rPr>
        <w:t xml:space="preserve">προς τις επιχειρήσεις και </w:t>
      </w:r>
      <w:r w:rsidR="006537D2" w:rsidRPr="00760CEE">
        <w:rPr>
          <w:rFonts w:asciiTheme="minorHAnsi" w:hAnsiTheme="minorHAnsi"/>
          <w:sz w:val="22"/>
          <w:szCs w:val="22"/>
        </w:rPr>
        <w:t>τους πολίτες</w:t>
      </w:r>
      <w:r w:rsidR="00745789" w:rsidRPr="00760CEE">
        <w:rPr>
          <w:rFonts w:asciiTheme="minorHAnsi" w:hAnsiTheme="minorHAnsi"/>
          <w:sz w:val="22"/>
          <w:szCs w:val="22"/>
        </w:rPr>
        <w:t>.</w:t>
      </w:r>
    </w:p>
    <w:p w14:paraId="76764052" w14:textId="0C8E6D4B" w:rsidR="007A24EE" w:rsidRPr="004C3B9B" w:rsidRDefault="00F0060D" w:rsidP="004C3B9B">
      <w:pPr>
        <w:spacing w:before="60" w:afterLines="60" w:after="144"/>
        <w:jc w:val="both"/>
        <w:rPr>
          <w:rFonts w:asciiTheme="minorHAnsi" w:hAnsiTheme="minorHAnsi"/>
          <w:sz w:val="22"/>
          <w:szCs w:val="22"/>
        </w:rPr>
      </w:pPr>
      <w:r w:rsidRPr="004C3B9B">
        <w:rPr>
          <w:rFonts w:asciiTheme="minorHAnsi" w:hAnsiTheme="minorHAnsi"/>
          <w:sz w:val="22"/>
          <w:szCs w:val="22"/>
        </w:rPr>
        <w:t xml:space="preserve">Εκτός από τα βασικά επιτόκια, </w:t>
      </w:r>
      <w:r w:rsidR="00BA4C23" w:rsidRPr="004C3B9B">
        <w:rPr>
          <w:rFonts w:asciiTheme="minorHAnsi" w:hAnsiTheme="minorHAnsi"/>
          <w:sz w:val="22"/>
          <w:szCs w:val="22"/>
        </w:rPr>
        <w:t>το Ευρωσύστημα έχει στη διάθεσή του μια φαρέτρα με διαφορετικά εργαλεία που χρησιμοποιεί, αυτοτελώς ή συνδυαστικά, στην προσπάθειά του να καθοδηγήσει τον πληθωρισμό στο στόχο.</w:t>
      </w:r>
      <w:r w:rsidR="007A24EE" w:rsidRPr="004C3B9B">
        <w:rPr>
          <w:rFonts w:asciiTheme="minorHAnsi" w:hAnsiTheme="minorHAnsi"/>
          <w:sz w:val="22"/>
          <w:szCs w:val="22"/>
        </w:rPr>
        <w:t xml:space="preserve"> </w:t>
      </w:r>
      <w:r w:rsidR="00AC2802" w:rsidRPr="004C3B9B">
        <w:rPr>
          <w:rFonts w:asciiTheme="minorHAnsi" w:hAnsiTheme="minorHAnsi"/>
          <w:sz w:val="22"/>
          <w:szCs w:val="22"/>
        </w:rPr>
        <w:t xml:space="preserve">Ορισμένα από αυτά τα εργαλεία προστέθηκαν ή χρησιμοποιήθηκαν πιο εκτεταμένα ως απάντηση στις διαδοχικές κρίσεις των τελευταίων ετών. </w:t>
      </w:r>
    </w:p>
    <w:p w14:paraId="60FDA633" w14:textId="047BE605" w:rsidR="00C53C77" w:rsidRPr="004C3B9B" w:rsidRDefault="00AC2802" w:rsidP="004C3B9B">
      <w:pPr>
        <w:spacing w:before="60" w:afterLines="60" w:after="144"/>
        <w:jc w:val="both"/>
        <w:rPr>
          <w:rFonts w:asciiTheme="minorHAnsi" w:hAnsiTheme="minorHAnsi"/>
          <w:sz w:val="22"/>
          <w:szCs w:val="22"/>
        </w:rPr>
      </w:pPr>
      <w:r w:rsidRPr="004C3B9B">
        <w:rPr>
          <w:rFonts w:asciiTheme="minorHAnsi" w:hAnsiTheme="minorHAnsi"/>
          <w:sz w:val="22"/>
          <w:szCs w:val="22"/>
        </w:rPr>
        <w:t xml:space="preserve">Χαρακτηριστικό </w:t>
      </w:r>
      <w:r w:rsidR="00C5240C" w:rsidRPr="004C3B9B">
        <w:rPr>
          <w:rFonts w:asciiTheme="minorHAnsi" w:hAnsiTheme="minorHAnsi"/>
          <w:sz w:val="22"/>
          <w:szCs w:val="22"/>
        </w:rPr>
        <w:t>εργαλείο</w:t>
      </w:r>
      <w:r w:rsidRPr="004C3B9B">
        <w:rPr>
          <w:rFonts w:asciiTheme="minorHAnsi" w:hAnsiTheme="minorHAnsi"/>
          <w:sz w:val="22"/>
          <w:szCs w:val="22"/>
        </w:rPr>
        <w:t xml:space="preserve"> είναι τα </w:t>
      </w:r>
      <w:r w:rsidR="009E1381" w:rsidRPr="004C3B9B">
        <w:rPr>
          <w:rFonts w:asciiTheme="minorHAnsi" w:hAnsiTheme="minorHAnsi"/>
          <w:sz w:val="22"/>
          <w:szCs w:val="22"/>
        </w:rPr>
        <w:t>Π</w:t>
      </w:r>
      <w:r w:rsidRPr="004C3B9B">
        <w:rPr>
          <w:rFonts w:asciiTheme="minorHAnsi" w:hAnsiTheme="minorHAnsi"/>
          <w:sz w:val="22"/>
          <w:szCs w:val="22"/>
        </w:rPr>
        <w:t xml:space="preserve">ρογράμματα </w:t>
      </w:r>
      <w:r w:rsidR="009E1381" w:rsidRPr="004C3B9B">
        <w:rPr>
          <w:rFonts w:asciiTheme="minorHAnsi" w:hAnsiTheme="minorHAnsi"/>
          <w:sz w:val="22"/>
          <w:szCs w:val="22"/>
        </w:rPr>
        <w:t>Α</w:t>
      </w:r>
      <w:r w:rsidRPr="004C3B9B">
        <w:rPr>
          <w:rFonts w:asciiTheme="minorHAnsi" w:hAnsiTheme="minorHAnsi"/>
          <w:sz w:val="22"/>
          <w:szCs w:val="22"/>
        </w:rPr>
        <w:t xml:space="preserve">γοράς </w:t>
      </w:r>
      <w:r w:rsidR="009E1381" w:rsidRPr="004C3B9B">
        <w:rPr>
          <w:rFonts w:asciiTheme="minorHAnsi" w:hAnsiTheme="minorHAnsi"/>
          <w:sz w:val="22"/>
          <w:szCs w:val="22"/>
        </w:rPr>
        <w:t>Τ</w:t>
      </w:r>
      <w:r w:rsidRPr="004C3B9B">
        <w:rPr>
          <w:rFonts w:asciiTheme="minorHAnsi" w:hAnsiTheme="minorHAnsi"/>
          <w:sz w:val="22"/>
          <w:szCs w:val="22"/>
        </w:rPr>
        <w:t>ίτλων, γνωστά και ως ποσοτική χαλάρωση. Στο πλαίσιο αυτών των προγραμμάτων, το Ευρωσύστημα αγόρασε κυρίως ομόλογα κρατών της ζώνης του ευρώ στη δευτερογενή αγορά, αλλά και άλλους τίτλους, με στόχο να διευκολύνει τη μετάδοση της νομισματικής πολιτικής και να στηρίξει ευνοϊκότερες συνθήκες χρηματοδότησης στην οικονομία</w:t>
      </w:r>
      <w:r w:rsidR="00A50097" w:rsidRPr="004C3B9B">
        <w:rPr>
          <w:rFonts w:asciiTheme="minorHAnsi" w:hAnsiTheme="minorHAnsi"/>
          <w:sz w:val="22"/>
          <w:szCs w:val="22"/>
        </w:rPr>
        <w:t xml:space="preserve">, σε μια περίοδο που </w:t>
      </w:r>
      <w:r w:rsidR="00C53C77" w:rsidRPr="004C3B9B">
        <w:rPr>
          <w:rFonts w:asciiTheme="minorHAnsi" w:hAnsiTheme="minorHAnsi"/>
          <w:sz w:val="22"/>
          <w:szCs w:val="22"/>
        </w:rPr>
        <w:t>τα επιτόκια</w:t>
      </w:r>
      <w:r w:rsidR="009F5FDD" w:rsidRPr="004C3B9B">
        <w:rPr>
          <w:rFonts w:asciiTheme="minorHAnsi" w:hAnsiTheme="minorHAnsi"/>
          <w:sz w:val="22"/>
          <w:szCs w:val="22"/>
        </w:rPr>
        <w:t xml:space="preserve"> πολιτικής </w:t>
      </w:r>
      <w:r w:rsidR="00C53C77" w:rsidRPr="004C3B9B">
        <w:rPr>
          <w:rFonts w:asciiTheme="minorHAnsi" w:hAnsiTheme="minorHAnsi"/>
          <w:sz w:val="22"/>
          <w:szCs w:val="22"/>
        </w:rPr>
        <w:t>είχαν φτάσει σε πολύ χαμηλά</w:t>
      </w:r>
      <w:r w:rsidR="00EB0561">
        <w:rPr>
          <w:rFonts w:asciiTheme="minorHAnsi" w:hAnsiTheme="minorHAnsi"/>
          <w:sz w:val="22"/>
          <w:szCs w:val="22"/>
        </w:rPr>
        <w:t xml:space="preserve"> ιστορικά</w:t>
      </w:r>
      <w:r w:rsidR="00C53C77" w:rsidRPr="004C3B9B">
        <w:rPr>
          <w:rFonts w:asciiTheme="minorHAnsi" w:hAnsiTheme="minorHAnsi"/>
          <w:sz w:val="22"/>
          <w:szCs w:val="22"/>
        </w:rPr>
        <w:t xml:space="preserve"> επίπεδα.</w:t>
      </w:r>
    </w:p>
    <w:p w14:paraId="7A95B5FD" w14:textId="44F2443F" w:rsidR="00D54B1E" w:rsidRPr="0061075B" w:rsidRDefault="00D54B1E" w:rsidP="00D54B1E">
      <w:pPr>
        <w:pBdr>
          <w:bottom w:val="single" w:sz="4" w:space="1" w:color="C5D4EC"/>
        </w:pBdr>
        <w:spacing w:before="160" w:after="160"/>
        <w:rPr>
          <w:rFonts w:asciiTheme="minorHAnsi" w:hAnsiTheme="minorHAnsi"/>
          <w:sz w:val="4"/>
          <w:szCs w:val="4"/>
        </w:rPr>
      </w:pPr>
    </w:p>
    <w:p w14:paraId="1A2418DF" w14:textId="422B1C12" w:rsidR="003B44BC" w:rsidRPr="005E71AE" w:rsidRDefault="00DE6327" w:rsidP="00D674F0">
      <w:pPr>
        <w:spacing w:before="280" w:after="120"/>
        <w:jc w:val="both"/>
        <w:rPr>
          <w:rFonts w:asciiTheme="minorHAnsi" w:hAnsiTheme="minorHAnsi"/>
        </w:rPr>
      </w:pPr>
      <w:r w:rsidRPr="005E71AE">
        <w:rPr>
          <w:rFonts w:asciiTheme="minorHAnsi" w:hAnsiTheme="minorHAnsi"/>
          <w:b/>
          <w:color w:val="003087"/>
          <w:sz w:val="28"/>
        </w:rPr>
        <w:lastRenderedPageBreak/>
        <w:t>8</w:t>
      </w:r>
      <w:r w:rsidR="00F423B1" w:rsidRPr="005E71AE">
        <w:rPr>
          <w:rFonts w:asciiTheme="minorHAnsi" w:hAnsiTheme="minorHAnsi"/>
          <w:b/>
          <w:color w:val="003087"/>
          <w:sz w:val="28"/>
        </w:rPr>
        <w:t xml:space="preserve">. </w:t>
      </w:r>
      <w:r w:rsidR="00C12D14" w:rsidRPr="005E71AE">
        <w:rPr>
          <w:rFonts w:asciiTheme="minorHAnsi" w:hAnsiTheme="minorHAnsi"/>
          <w:b/>
          <w:color w:val="003087"/>
          <w:sz w:val="28"/>
        </w:rPr>
        <w:t xml:space="preserve">Πώς </w:t>
      </w:r>
      <w:r w:rsidR="00F423B1" w:rsidRPr="005E71AE">
        <w:rPr>
          <w:rFonts w:asciiTheme="minorHAnsi" w:hAnsiTheme="minorHAnsi"/>
          <w:b/>
          <w:color w:val="003087"/>
          <w:sz w:val="28"/>
        </w:rPr>
        <w:t xml:space="preserve">οι αποφάσεις για τα επιτόκια </w:t>
      </w:r>
      <w:r w:rsidR="001356DB" w:rsidRPr="005E71AE">
        <w:rPr>
          <w:rFonts w:asciiTheme="minorHAnsi" w:hAnsiTheme="minorHAnsi"/>
          <w:b/>
          <w:color w:val="003087"/>
          <w:sz w:val="28"/>
        </w:rPr>
        <w:t xml:space="preserve">πολιτικής </w:t>
      </w:r>
      <w:r w:rsidR="00C12D14" w:rsidRPr="005E71AE">
        <w:rPr>
          <w:rFonts w:asciiTheme="minorHAnsi" w:hAnsiTheme="minorHAnsi"/>
          <w:b/>
          <w:color w:val="003087"/>
          <w:sz w:val="28"/>
        </w:rPr>
        <w:t>επηρεάζ</w:t>
      </w:r>
      <w:r w:rsidR="00F423B1" w:rsidRPr="005E71AE">
        <w:rPr>
          <w:rFonts w:asciiTheme="minorHAnsi" w:hAnsiTheme="minorHAnsi"/>
          <w:b/>
          <w:color w:val="003087"/>
          <w:sz w:val="28"/>
        </w:rPr>
        <w:t>ουν</w:t>
      </w:r>
      <w:r w:rsidR="00C12D14" w:rsidRPr="005E71AE">
        <w:rPr>
          <w:rFonts w:asciiTheme="minorHAnsi" w:hAnsiTheme="minorHAnsi"/>
          <w:b/>
          <w:color w:val="003087"/>
          <w:sz w:val="28"/>
        </w:rPr>
        <w:t xml:space="preserve"> την </w:t>
      </w:r>
      <w:r w:rsidR="00086A0E">
        <w:rPr>
          <w:rFonts w:asciiTheme="minorHAnsi" w:hAnsiTheme="minorHAnsi"/>
          <w:b/>
          <w:color w:val="003087"/>
          <w:sz w:val="28"/>
        </w:rPr>
        <w:t>οικονομία και τις τιμές</w:t>
      </w:r>
      <w:r w:rsidR="00C12D14" w:rsidRPr="005E71AE">
        <w:rPr>
          <w:rFonts w:asciiTheme="minorHAnsi" w:hAnsiTheme="minorHAnsi"/>
          <w:b/>
          <w:color w:val="003087"/>
          <w:sz w:val="28"/>
        </w:rPr>
        <w:t>;</w:t>
      </w:r>
      <w:r w:rsidR="00E1399E" w:rsidRPr="005E71AE">
        <w:rPr>
          <w:rFonts w:asciiTheme="minorHAnsi" w:hAnsiTheme="minorHAnsi"/>
          <w:b/>
          <w:color w:val="003087"/>
          <w:sz w:val="28"/>
        </w:rPr>
        <w:t xml:space="preserve"> </w:t>
      </w:r>
    </w:p>
    <w:p w14:paraId="3596D99D" w14:textId="64E8F487" w:rsidR="00490E43" w:rsidRPr="00760CEE" w:rsidRDefault="005623F6" w:rsidP="00D54B1E">
      <w:pPr>
        <w:jc w:val="both"/>
        <w:rPr>
          <w:rFonts w:asciiTheme="minorHAnsi" w:hAnsiTheme="minorHAnsi"/>
          <w:color w:val="333333"/>
          <w:sz w:val="22"/>
          <w:szCs w:val="22"/>
        </w:rPr>
      </w:pPr>
      <w:r w:rsidRPr="00760CEE">
        <w:rPr>
          <w:rFonts w:asciiTheme="minorHAnsi" w:hAnsiTheme="minorHAnsi"/>
          <w:color w:val="333333"/>
          <w:sz w:val="22"/>
          <w:szCs w:val="22"/>
        </w:rPr>
        <w:t xml:space="preserve">Κάθε μεταβολή των επιτοκίων πολιτικής επηρεάζει σταδιακά ολόκληρη την οικονομία, μεταξύ άλλων τα επιτόκια των στεγαστικών ή επιχειρηματικών δανείων, καθώς και τα επιτόκια των τραπεζικών καταθέσεων. Ο μηχανισμός αυτός είναι σύνθετος και η επίδρασή του δεν είναι άμεση· χρειάζεται χρόνο για να μεταδοθεί μια απόφαση μεταβολής επιτοκίων </w:t>
      </w:r>
      <w:r w:rsidR="005B0079">
        <w:rPr>
          <w:rFonts w:asciiTheme="minorHAnsi" w:hAnsiTheme="minorHAnsi"/>
          <w:color w:val="333333"/>
          <w:sz w:val="22"/>
          <w:szCs w:val="22"/>
        </w:rPr>
        <w:t>πολιτικής</w:t>
      </w:r>
      <w:r w:rsidR="005B0079" w:rsidRPr="00760CEE">
        <w:rPr>
          <w:rFonts w:asciiTheme="minorHAnsi" w:hAnsiTheme="minorHAnsi"/>
          <w:color w:val="333333"/>
          <w:sz w:val="22"/>
          <w:szCs w:val="22"/>
        </w:rPr>
        <w:t xml:space="preserve"> </w:t>
      </w:r>
      <w:r w:rsidRPr="00760CEE">
        <w:rPr>
          <w:rFonts w:asciiTheme="minorHAnsi" w:hAnsiTheme="minorHAnsi"/>
          <w:color w:val="333333"/>
          <w:sz w:val="22"/>
          <w:szCs w:val="22"/>
        </w:rPr>
        <w:t xml:space="preserve">στην πραγματική οικονομία. </w:t>
      </w:r>
    </w:p>
    <w:p w14:paraId="722C6DE8" w14:textId="77777777" w:rsidR="0061075B" w:rsidRDefault="005623F6" w:rsidP="006E1F74">
      <w:pPr>
        <w:spacing w:before="60"/>
        <w:jc w:val="both"/>
        <w:rPr>
          <w:rFonts w:asciiTheme="minorHAnsi" w:hAnsiTheme="minorHAnsi"/>
          <w:color w:val="333333"/>
          <w:sz w:val="22"/>
          <w:szCs w:val="22"/>
        </w:rPr>
      </w:pPr>
      <w:r w:rsidRPr="00760CEE">
        <w:rPr>
          <w:rFonts w:asciiTheme="minorHAnsi" w:hAnsiTheme="minorHAnsi"/>
          <w:color w:val="333333"/>
          <w:sz w:val="22"/>
          <w:szCs w:val="22"/>
        </w:rPr>
        <w:t xml:space="preserve">Αρχικά, οι μεταβολές στα επιτόκια πολιτικής επηρεάζουν τους όρους με τους οποίους οι εμπορικές τράπεζες δανείζονται από τις κεντρικές τράπεζες του Ευρωσυστήματος ή </w:t>
      </w:r>
      <w:r w:rsidR="005E71AE" w:rsidRPr="00760CEE">
        <w:rPr>
          <w:rFonts w:asciiTheme="minorHAnsi" w:hAnsiTheme="minorHAnsi"/>
          <w:color w:val="333333"/>
          <w:sz w:val="22"/>
          <w:szCs w:val="22"/>
        </w:rPr>
        <w:t>καταθέτουν</w:t>
      </w:r>
      <w:r w:rsidRPr="00760CEE">
        <w:rPr>
          <w:rFonts w:asciiTheme="minorHAnsi" w:hAnsiTheme="minorHAnsi"/>
          <w:color w:val="333333"/>
          <w:sz w:val="22"/>
          <w:szCs w:val="22"/>
        </w:rPr>
        <w:t xml:space="preserve"> </w:t>
      </w:r>
      <w:r w:rsidR="00442B1F" w:rsidRPr="00760CEE">
        <w:rPr>
          <w:rFonts w:asciiTheme="minorHAnsi" w:hAnsiTheme="minorHAnsi"/>
          <w:color w:val="333333"/>
          <w:sz w:val="22"/>
          <w:szCs w:val="22"/>
        </w:rPr>
        <w:t>ρευστότητα</w:t>
      </w:r>
      <w:r w:rsidRPr="00760CEE">
        <w:rPr>
          <w:rFonts w:asciiTheme="minorHAnsi" w:hAnsiTheme="minorHAnsi"/>
          <w:color w:val="333333"/>
          <w:sz w:val="22"/>
          <w:szCs w:val="22"/>
        </w:rPr>
        <w:t xml:space="preserve"> σε αυτές</w:t>
      </w:r>
      <w:r w:rsidR="00442B1F" w:rsidRPr="00760CEE">
        <w:rPr>
          <w:rFonts w:asciiTheme="minorHAnsi" w:hAnsiTheme="minorHAnsi"/>
          <w:color w:val="333333"/>
          <w:sz w:val="22"/>
          <w:szCs w:val="22"/>
        </w:rPr>
        <w:t xml:space="preserve">. </w:t>
      </w:r>
      <w:r w:rsidRPr="00D54B1E">
        <w:rPr>
          <w:rFonts w:asciiTheme="minorHAnsi" w:hAnsiTheme="minorHAnsi"/>
          <w:color w:val="333333"/>
          <w:sz w:val="22"/>
          <w:szCs w:val="22"/>
        </w:rPr>
        <w:t xml:space="preserve">Με τη σειρά τους, οι εμπορικές τράπεζες </w:t>
      </w:r>
      <w:proofErr w:type="spellStart"/>
      <w:r w:rsidRPr="00D54B1E">
        <w:rPr>
          <w:rFonts w:asciiTheme="minorHAnsi" w:hAnsiTheme="minorHAnsi"/>
          <w:color w:val="333333"/>
          <w:sz w:val="22"/>
          <w:szCs w:val="22"/>
        </w:rPr>
        <w:t>μετακυλίουν</w:t>
      </w:r>
      <w:proofErr w:type="spellEnd"/>
      <w:r w:rsidRPr="00D54B1E">
        <w:rPr>
          <w:rFonts w:asciiTheme="minorHAnsi" w:hAnsiTheme="minorHAnsi"/>
          <w:color w:val="333333"/>
          <w:sz w:val="22"/>
          <w:szCs w:val="22"/>
        </w:rPr>
        <w:t xml:space="preserve"> </w:t>
      </w:r>
      <w:r w:rsidR="003D0223" w:rsidRPr="00D54B1E">
        <w:rPr>
          <w:rFonts w:asciiTheme="minorHAnsi" w:hAnsiTheme="minorHAnsi"/>
          <w:color w:val="333333"/>
          <w:sz w:val="22"/>
          <w:szCs w:val="22"/>
        </w:rPr>
        <w:t xml:space="preserve">τις μεταβολές αυτές </w:t>
      </w:r>
      <w:r w:rsidRPr="00D54B1E">
        <w:rPr>
          <w:rFonts w:asciiTheme="minorHAnsi" w:hAnsiTheme="minorHAnsi"/>
          <w:color w:val="333333"/>
          <w:sz w:val="22"/>
          <w:szCs w:val="22"/>
        </w:rPr>
        <w:t xml:space="preserve">σταδιακά </w:t>
      </w:r>
      <w:r w:rsidR="00966001" w:rsidRPr="00760CEE">
        <w:rPr>
          <w:rFonts w:asciiTheme="minorHAnsi" w:hAnsiTheme="minorHAnsi"/>
          <w:color w:val="333333"/>
          <w:sz w:val="22"/>
          <w:szCs w:val="22"/>
        </w:rPr>
        <w:t xml:space="preserve">στους </w:t>
      </w:r>
      <w:r w:rsidR="007E16E7" w:rsidRPr="00760CEE">
        <w:rPr>
          <w:rFonts w:asciiTheme="minorHAnsi" w:hAnsiTheme="minorHAnsi"/>
          <w:color w:val="333333"/>
          <w:sz w:val="22"/>
          <w:szCs w:val="22"/>
        </w:rPr>
        <w:t>πολίτες</w:t>
      </w:r>
      <w:r w:rsidR="00966001" w:rsidRPr="00760CEE">
        <w:rPr>
          <w:rFonts w:asciiTheme="minorHAnsi" w:hAnsiTheme="minorHAnsi"/>
          <w:color w:val="333333"/>
          <w:sz w:val="22"/>
          <w:szCs w:val="22"/>
        </w:rPr>
        <w:t xml:space="preserve"> </w:t>
      </w:r>
      <w:r w:rsidRPr="00D54B1E">
        <w:rPr>
          <w:rFonts w:asciiTheme="minorHAnsi" w:hAnsiTheme="minorHAnsi"/>
          <w:color w:val="333333"/>
          <w:sz w:val="22"/>
          <w:szCs w:val="22"/>
        </w:rPr>
        <w:t>και τις επιχειρήσεις, μέσω των επιτοκίων δανείων και καταθέσεων</w:t>
      </w:r>
      <w:r w:rsidR="003D0223" w:rsidRPr="00D54B1E">
        <w:rPr>
          <w:rFonts w:asciiTheme="minorHAnsi" w:hAnsiTheme="minorHAnsi"/>
          <w:color w:val="333333"/>
          <w:sz w:val="22"/>
          <w:szCs w:val="22"/>
        </w:rPr>
        <w:t>.</w:t>
      </w:r>
      <w:r w:rsidRPr="00D54B1E">
        <w:rPr>
          <w:rFonts w:asciiTheme="minorHAnsi" w:hAnsiTheme="minorHAnsi"/>
          <w:color w:val="333333"/>
          <w:sz w:val="22"/>
          <w:szCs w:val="22"/>
        </w:rPr>
        <w:t xml:space="preserve"> </w:t>
      </w:r>
    </w:p>
    <w:p w14:paraId="674C4C1D" w14:textId="4F224E8E" w:rsidR="003B44BC" w:rsidRPr="00D54B1E" w:rsidRDefault="005623F6" w:rsidP="006E1F74">
      <w:pPr>
        <w:spacing w:before="60"/>
        <w:jc w:val="both"/>
        <w:rPr>
          <w:rFonts w:asciiTheme="minorHAnsi" w:hAnsiTheme="minorHAnsi"/>
          <w:color w:val="333333"/>
          <w:sz w:val="22"/>
          <w:szCs w:val="22"/>
        </w:rPr>
      </w:pPr>
      <w:r w:rsidRPr="00D54B1E">
        <w:rPr>
          <w:rFonts w:asciiTheme="minorHAnsi" w:hAnsiTheme="minorHAnsi"/>
          <w:color w:val="333333"/>
          <w:sz w:val="22"/>
          <w:szCs w:val="22"/>
        </w:rPr>
        <w:t>Ε</w:t>
      </w:r>
      <w:r w:rsidR="00B15259" w:rsidRPr="00D54B1E">
        <w:rPr>
          <w:rFonts w:asciiTheme="minorHAnsi" w:hAnsiTheme="minorHAnsi"/>
          <w:color w:val="333333"/>
          <w:sz w:val="22"/>
          <w:szCs w:val="22"/>
        </w:rPr>
        <w:t xml:space="preserve">πηρεάζουν </w:t>
      </w:r>
      <w:r w:rsidRPr="00D54B1E">
        <w:rPr>
          <w:rFonts w:asciiTheme="minorHAnsi" w:hAnsiTheme="minorHAnsi"/>
          <w:color w:val="333333"/>
          <w:sz w:val="22"/>
          <w:szCs w:val="22"/>
        </w:rPr>
        <w:t xml:space="preserve">έτσι </w:t>
      </w:r>
      <w:r w:rsidR="00B15259" w:rsidRPr="00D54B1E">
        <w:rPr>
          <w:rFonts w:asciiTheme="minorHAnsi" w:hAnsiTheme="minorHAnsi"/>
          <w:color w:val="333333"/>
          <w:sz w:val="22"/>
          <w:szCs w:val="22"/>
        </w:rPr>
        <w:t>τις αποφάσεις για κατανάλωση και επένδυση, καθώς και το επίπεδο της συνολικής ζήτησης στην οικονομία.</w:t>
      </w:r>
      <w:r w:rsidRPr="00D54B1E">
        <w:rPr>
          <w:rFonts w:asciiTheme="minorHAnsi" w:hAnsiTheme="minorHAnsi"/>
          <w:color w:val="333333"/>
          <w:sz w:val="22"/>
          <w:szCs w:val="22"/>
        </w:rPr>
        <w:t xml:space="preserve"> </w:t>
      </w:r>
      <w:r w:rsidR="00575D0F" w:rsidRPr="00D54B1E">
        <w:rPr>
          <w:rFonts w:asciiTheme="minorHAnsi" w:hAnsiTheme="minorHAnsi"/>
          <w:color w:val="333333"/>
          <w:sz w:val="22"/>
          <w:szCs w:val="22"/>
        </w:rPr>
        <w:t>Ταχύτερη αύξηση της συνολικής ζήτησης σε σχέση με την προσφορά ασκεί ανοδικές πιέσεις στις τιμές. Αντίθετα, όταν η συνολική ζήτηση περιορίζεται, οι πιέσεις στις τιμές εξασθενούν. Με αυτόν τον τρόπο, μέσω της επίδρασής της στη συνολική ζήτηση, η νομισματική πολιτική καθοδηγεί έμμεσα το γενικό επίπεδο των τιμών.</w:t>
      </w:r>
    </w:p>
    <w:p w14:paraId="7B6F158F" w14:textId="77777777" w:rsidR="003A7337" w:rsidRPr="00D54B1E" w:rsidRDefault="003A7337" w:rsidP="006E1F74">
      <w:pPr>
        <w:spacing w:before="60"/>
        <w:jc w:val="both"/>
        <w:rPr>
          <w:rFonts w:asciiTheme="minorHAnsi" w:hAnsiTheme="minorHAnsi"/>
        </w:rPr>
      </w:pPr>
    </w:p>
    <w:tbl>
      <w:tblPr>
        <w:tblW w:w="10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68"/>
        <w:gridCol w:w="4111"/>
        <w:gridCol w:w="3827"/>
        <w:gridCol w:w="47"/>
      </w:tblGrid>
      <w:tr w:rsidR="000D1A30" w:rsidRPr="003A5C41" w14:paraId="6DC9CCD9" w14:textId="77777777" w:rsidTr="003A5C41">
        <w:trPr>
          <w:gridAfter w:val="1"/>
          <w:wAfter w:w="47" w:type="dxa"/>
        </w:trPr>
        <w:tc>
          <w:tcPr>
            <w:tcW w:w="10206" w:type="dxa"/>
            <w:gridSpan w:val="3"/>
            <w:tcBorders>
              <w:top w:val="none" w:sz="0" w:space="0" w:color="FFFFFF"/>
              <w:left w:val="none" w:sz="0" w:space="0" w:color="FFFFFF"/>
              <w:bottom w:val="none" w:sz="0" w:space="0" w:color="FFFFFF"/>
              <w:right w:val="none" w:sz="0" w:space="0" w:color="FFFFFF"/>
            </w:tcBorders>
            <w:shd w:val="clear" w:color="auto" w:fill="002060"/>
            <w:tcMar>
              <w:top w:w="100" w:type="dxa"/>
              <w:left w:w="160" w:type="dxa"/>
              <w:bottom w:w="100" w:type="dxa"/>
              <w:right w:w="160" w:type="dxa"/>
            </w:tcMar>
          </w:tcPr>
          <w:p w14:paraId="7121962D" w14:textId="77777777" w:rsidR="00A50097" w:rsidRPr="003A5C41" w:rsidRDefault="004135DB" w:rsidP="004135DB">
            <w:pPr>
              <w:jc w:val="center"/>
              <w:rPr>
                <w:rFonts w:asciiTheme="minorHAnsi" w:hAnsiTheme="minorHAnsi"/>
                <w:b/>
                <w:color w:val="FFFFFF"/>
                <w:sz w:val="22"/>
                <w:szCs w:val="22"/>
              </w:rPr>
            </w:pPr>
            <w:r w:rsidRPr="003A5C41">
              <w:rPr>
                <w:rFonts w:asciiTheme="minorHAnsi" w:hAnsiTheme="minorHAnsi"/>
                <w:b/>
                <w:color w:val="FFFFFF"/>
                <w:sz w:val="22"/>
                <w:szCs w:val="22"/>
              </w:rPr>
              <w:t xml:space="preserve">Περίπτωση </w:t>
            </w:r>
            <w:r w:rsidR="00B61340" w:rsidRPr="003A5C41">
              <w:rPr>
                <w:rFonts w:asciiTheme="minorHAnsi" w:hAnsiTheme="minorHAnsi"/>
                <w:b/>
                <w:color w:val="FF0000"/>
                <w:sz w:val="22"/>
                <w:szCs w:val="22"/>
              </w:rPr>
              <w:t>ανοδικ</w:t>
            </w:r>
            <w:r w:rsidR="00A50097" w:rsidRPr="003A5C41">
              <w:rPr>
                <w:rFonts w:asciiTheme="minorHAnsi" w:hAnsiTheme="minorHAnsi"/>
                <w:b/>
                <w:color w:val="FF0000"/>
                <w:sz w:val="22"/>
                <w:szCs w:val="22"/>
              </w:rPr>
              <w:t>ών</w:t>
            </w:r>
            <w:r w:rsidR="00B61340" w:rsidRPr="003A5C41">
              <w:rPr>
                <w:rFonts w:asciiTheme="minorHAnsi" w:hAnsiTheme="minorHAnsi"/>
                <w:b/>
                <w:color w:val="FFFFFF"/>
                <w:sz w:val="22"/>
                <w:szCs w:val="22"/>
              </w:rPr>
              <w:t xml:space="preserve"> πιέσε</w:t>
            </w:r>
            <w:r w:rsidR="00A50097" w:rsidRPr="003A5C41">
              <w:rPr>
                <w:rFonts w:asciiTheme="minorHAnsi" w:hAnsiTheme="minorHAnsi"/>
                <w:b/>
                <w:color w:val="FFFFFF"/>
                <w:sz w:val="22"/>
                <w:szCs w:val="22"/>
              </w:rPr>
              <w:t>ων</w:t>
            </w:r>
            <w:r w:rsidR="00B61340" w:rsidRPr="003A5C41">
              <w:rPr>
                <w:rFonts w:asciiTheme="minorHAnsi" w:hAnsiTheme="minorHAnsi"/>
                <w:b/>
                <w:color w:val="FFFFFF"/>
                <w:sz w:val="22"/>
                <w:szCs w:val="22"/>
              </w:rPr>
              <w:t xml:space="preserve"> στις τιμές </w:t>
            </w:r>
          </w:p>
          <w:p w14:paraId="692C9129" w14:textId="628DB33A" w:rsidR="004135DB" w:rsidRPr="003A5C41" w:rsidRDefault="00B61340" w:rsidP="004135DB">
            <w:pPr>
              <w:jc w:val="center"/>
              <w:rPr>
                <w:rFonts w:asciiTheme="minorHAnsi" w:hAnsiTheme="minorHAnsi"/>
                <w:b/>
                <w:color w:val="FFFFFF"/>
                <w:sz w:val="22"/>
                <w:szCs w:val="22"/>
              </w:rPr>
            </w:pPr>
            <w:r w:rsidRPr="003A5C41">
              <w:rPr>
                <w:rFonts w:asciiTheme="minorHAnsi" w:hAnsiTheme="minorHAnsi"/>
                <w:b/>
                <w:color w:val="FFFFFF"/>
                <w:sz w:val="22"/>
                <w:szCs w:val="22"/>
              </w:rPr>
              <w:t xml:space="preserve">που οδηγούν σε πληθωρισμό υψηλότερο του στόχου μεσοπρόθεσμα </w:t>
            </w:r>
          </w:p>
        </w:tc>
      </w:tr>
      <w:tr w:rsidR="003A5C41" w:rsidRPr="003A5C41" w14:paraId="3E026280" w14:textId="77777777" w:rsidTr="002C7066">
        <w:trPr>
          <w:gridAfter w:val="1"/>
          <w:wAfter w:w="47" w:type="dxa"/>
        </w:trPr>
        <w:tc>
          <w:tcPr>
            <w:tcW w:w="2268" w:type="dxa"/>
            <w:tcBorders>
              <w:top w:val="single" w:sz="1" w:space="0" w:color="C5D4EC"/>
              <w:left w:val="single" w:sz="1" w:space="0" w:color="C5D4EC"/>
              <w:bottom w:val="single" w:sz="1" w:space="0" w:color="C5D4EC"/>
              <w:right w:val="single" w:sz="1" w:space="0" w:color="C5D4EC"/>
            </w:tcBorders>
            <w:shd w:val="clear" w:color="auto" w:fill="A5C9EB" w:themeFill="text2" w:themeFillTint="40"/>
            <w:tcMar>
              <w:top w:w="80" w:type="dxa"/>
              <w:left w:w="160" w:type="dxa"/>
              <w:bottom w:w="80" w:type="dxa"/>
              <w:right w:w="120" w:type="dxa"/>
            </w:tcMar>
            <w:vAlign w:val="center"/>
          </w:tcPr>
          <w:p w14:paraId="04CBE518" w14:textId="5BC4B354" w:rsidR="003A5C41" w:rsidRPr="00815A89" w:rsidRDefault="003A5C41" w:rsidP="002C7066">
            <w:pPr>
              <w:spacing w:after="120"/>
              <w:jc w:val="center"/>
              <w:rPr>
                <w:rFonts w:asciiTheme="majorHAnsi" w:hAnsiTheme="majorHAnsi"/>
                <w:b/>
                <w:bCs/>
                <w:color w:val="FFFFFF" w:themeColor="background1"/>
                <w:sz w:val="22"/>
                <w:szCs w:val="22"/>
              </w:rPr>
            </w:pPr>
            <w:r w:rsidRPr="00815A89">
              <w:rPr>
                <w:rFonts w:asciiTheme="majorHAnsi" w:hAnsiTheme="majorHAnsi"/>
                <w:b/>
                <w:bCs/>
                <w:color w:val="FFFFFF" w:themeColor="background1"/>
                <w:sz w:val="22"/>
                <w:szCs w:val="22"/>
              </w:rPr>
              <w:t>Απόφαση</w:t>
            </w:r>
          </w:p>
        </w:tc>
        <w:tc>
          <w:tcPr>
            <w:tcW w:w="4111" w:type="dxa"/>
            <w:tcBorders>
              <w:top w:val="single" w:sz="1" w:space="0" w:color="C5D4EC"/>
              <w:left w:val="single" w:sz="1" w:space="0" w:color="C5D4EC"/>
              <w:bottom w:val="single" w:sz="1" w:space="0" w:color="C5D4EC"/>
              <w:right w:val="single" w:sz="1" w:space="0" w:color="C5D4EC"/>
            </w:tcBorders>
            <w:shd w:val="clear" w:color="auto" w:fill="A5C9EB" w:themeFill="text2" w:themeFillTint="40"/>
            <w:tcMar>
              <w:top w:w="80" w:type="dxa"/>
              <w:left w:w="120" w:type="dxa"/>
              <w:bottom w:w="80" w:type="dxa"/>
              <w:right w:w="160" w:type="dxa"/>
            </w:tcMar>
            <w:vAlign w:val="center"/>
          </w:tcPr>
          <w:p w14:paraId="1D208CB5" w14:textId="6B468AE8" w:rsidR="003A5C41" w:rsidRPr="00815A89" w:rsidRDefault="003A5C41" w:rsidP="002C7066">
            <w:pPr>
              <w:spacing w:before="60" w:after="120"/>
              <w:jc w:val="center"/>
              <w:rPr>
                <w:rFonts w:asciiTheme="majorHAnsi" w:hAnsiTheme="majorHAnsi"/>
                <w:b/>
                <w:bCs/>
                <w:color w:val="FFFFFF" w:themeColor="background1"/>
                <w:sz w:val="22"/>
                <w:szCs w:val="22"/>
              </w:rPr>
            </w:pPr>
            <w:r w:rsidRPr="00815A89">
              <w:rPr>
                <w:rFonts w:asciiTheme="majorHAnsi" w:hAnsiTheme="majorHAnsi"/>
                <w:b/>
                <w:bCs/>
                <w:color w:val="FFFFFF" w:themeColor="background1"/>
                <w:sz w:val="22"/>
                <w:szCs w:val="22"/>
              </w:rPr>
              <w:t>Τι σημαίνει για εσάς</w:t>
            </w:r>
          </w:p>
        </w:tc>
        <w:tc>
          <w:tcPr>
            <w:tcW w:w="3827" w:type="dxa"/>
            <w:tcBorders>
              <w:top w:val="single" w:sz="1" w:space="0" w:color="C5D4EC"/>
              <w:left w:val="single" w:sz="1" w:space="0" w:color="C5D4EC"/>
              <w:bottom w:val="single" w:sz="1" w:space="0" w:color="C5D4EC"/>
              <w:right w:val="single" w:sz="1" w:space="0" w:color="C5D4EC"/>
            </w:tcBorders>
            <w:shd w:val="clear" w:color="auto" w:fill="A5C9EB" w:themeFill="text2" w:themeFillTint="40"/>
            <w:vAlign w:val="center"/>
          </w:tcPr>
          <w:p w14:paraId="04C2BE12" w14:textId="0C4BE3CA" w:rsidR="003A5C41" w:rsidRPr="00815A89" w:rsidRDefault="003A5C41" w:rsidP="002C7066">
            <w:pPr>
              <w:spacing w:before="60" w:after="120"/>
              <w:jc w:val="center"/>
              <w:rPr>
                <w:rFonts w:asciiTheme="majorHAnsi" w:hAnsiTheme="majorHAnsi"/>
                <w:b/>
                <w:bCs/>
                <w:color w:val="FFFFFF" w:themeColor="background1"/>
                <w:sz w:val="22"/>
                <w:szCs w:val="22"/>
              </w:rPr>
            </w:pPr>
            <w:r w:rsidRPr="00815A89">
              <w:rPr>
                <w:rFonts w:asciiTheme="majorHAnsi" w:hAnsiTheme="majorHAnsi"/>
                <w:b/>
                <w:bCs/>
                <w:color w:val="FFFFFF" w:themeColor="background1"/>
                <w:sz w:val="22"/>
                <w:szCs w:val="22"/>
              </w:rPr>
              <w:t>Τι σημαίνει για την οικονομία</w:t>
            </w:r>
          </w:p>
        </w:tc>
      </w:tr>
      <w:tr w:rsidR="00261934" w:rsidRPr="003A5C41" w14:paraId="5120F398" w14:textId="77777777" w:rsidTr="00815A89">
        <w:trPr>
          <w:gridAfter w:val="1"/>
          <w:wAfter w:w="47" w:type="dxa"/>
        </w:trPr>
        <w:tc>
          <w:tcPr>
            <w:tcW w:w="2268" w:type="dxa"/>
            <w:tcBorders>
              <w:top w:val="single" w:sz="1" w:space="0" w:color="C5D4EC"/>
              <w:left w:val="single" w:sz="1" w:space="0" w:color="C5D4EC"/>
              <w:bottom w:val="single" w:sz="1" w:space="0" w:color="C5D4EC"/>
              <w:right w:val="single" w:sz="1" w:space="0" w:color="C5D4EC"/>
            </w:tcBorders>
            <w:shd w:val="clear" w:color="auto" w:fill="E8EEF7"/>
            <w:tcMar>
              <w:top w:w="80" w:type="dxa"/>
              <w:left w:w="160" w:type="dxa"/>
              <w:bottom w:w="80" w:type="dxa"/>
              <w:right w:w="120" w:type="dxa"/>
            </w:tcMar>
          </w:tcPr>
          <w:p w14:paraId="14C4424E" w14:textId="77777777" w:rsidR="000D1A30" w:rsidRPr="003A5C41" w:rsidRDefault="000D1A30" w:rsidP="00815A89">
            <w:pPr>
              <w:spacing w:before="60" w:after="80"/>
              <w:rPr>
                <w:rFonts w:asciiTheme="minorHAnsi" w:hAnsiTheme="minorHAnsi"/>
                <w:b/>
                <w:bCs/>
                <w:color w:val="333333"/>
                <w:sz w:val="22"/>
                <w:szCs w:val="22"/>
              </w:rPr>
            </w:pPr>
            <w:r w:rsidRPr="003A5C41">
              <w:rPr>
                <w:rFonts w:asciiTheme="minorHAnsi" w:hAnsiTheme="minorHAnsi"/>
                <w:b/>
                <w:bCs/>
                <w:color w:val="333333"/>
                <w:sz w:val="22"/>
                <w:szCs w:val="22"/>
              </w:rPr>
              <w:t xml:space="preserve">Αύξηση επιτοκίων </w:t>
            </w:r>
          </w:p>
          <w:p w14:paraId="07BEE254" w14:textId="483065AE" w:rsidR="00067786" w:rsidRPr="003A5C41" w:rsidRDefault="000D1A30" w:rsidP="00815A89">
            <w:pPr>
              <w:spacing w:before="60" w:after="80"/>
              <w:rPr>
                <w:rFonts w:asciiTheme="minorHAnsi" w:hAnsiTheme="minorHAnsi"/>
                <w:b/>
                <w:bCs/>
                <w:color w:val="333333"/>
                <w:sz w:val="22"/>
                <w:szCs w:val="22"/>
              </w:rPr>
            </w:pPr>
            <w:r w:rsidRPr="003A5C41">
              <w:rPr>
                <w:rFonts w:asciiTheme="minorHAnsi" w:hAnsiTheme="minorHAnsi"/>
                <w:color w:val="333333"/>
                <w:sz w:val="22"/>
                <w:szCs w:val="22"/>
              </w:rPr>
              <w:t>Πιο περιοριστική κατεύθυνση της νομισματικής πολιτικής</w:t>
            </w:r>
          </w:p>
        </w:tc>
        <w:tc>
          <w:tcPr>
            <w:tcW w:w="4111" w:type="dxa"/>
            <w:tcBorders>
              <w:top w:val="single" w:sz="1" w:space="0" w:color="C5D4EC"/>
              <w:left w:val="single" w:sz="1" w:space="0" w:color="C5D4EC"/>
              <w:bottom w:val="single" w:sz="1" w:space="0" w:color="C5D4EC"/>
              <w:right w:val="single" w:sz="1" w:space="0" w:color="C5D4EC"/>
            </w:tcBorders>
            <w:shd w:val="clear" w:color="auto" w:fill="E8EEF7"/>
            <w:tcMar>
              <w:top w:w="80" w:type="dxa"/>
              <w:left w:w="120" w:type="dxa"/>
              <w:bottom w:w="80" w:type="dxa"/>
              <w:right w:w="160" w:type="dxa"/>
            </w:tcMar>
          </w:tcPr>
          <w:p w14:paraId="29DCA53F" w14:textId="77777777" w:rsidR="000D1A30" w:rsidRPr="003A5C41" w:rsidRDefault="000D1A30" w:rsidP="000D1A30">
            <w:pPr>
              <w:spacing w:before="60" w:after="80"/>
              <w:jc w:val="both"/>
              <w:rPr>
                <w:rFonts w:asciiTheme="minorHAnsi" w:hAnsiTheme="minorHAnsi"/>
                <w:color w:val="333333"/>
                <w:sz w:val="22"/>
                <w:szCs w:val="22"/>
              </w:rPr>
            </w:pPr>
            <w:r w:rsidRPr="003A5C41">
              <w:rPr>
                <w:rFonts w:asciiTheme="minorHAnsi" w:hAnsiTheme="minorHAnsi"/>
                <w:color w:val="333333"/>
                <w:sz w:val="22"/>
                <w:szCs w:val="22"/>
              </w:rPr>
              <w:t>Τα νέα δάνεια προς νοικοκυριά και επιχειρήσεις τείνουν να έχουν υψηλότερο επιτόκιο, ενώ στα υφιστάμενα δάνεια με κυμαινόμενο επιτόκιο μπορεί να αυξηθούν οι τόκοι και, κατά συνέπεια, οι μηνιαίες δόσεις.</w:t>
            </w:r>
          </w:p>
          <w:p w14:paraId="40FD58D4" w14:textId="10BC2374" w:rsidR="00067786" w:rsidRPr="003A5C41" w:rsidRDefault="000D1A30" w:rsidP="000D1A30">
            <w:pPr>
              <w:spacing w:before="60" w:after="80"/>
              <w:jc w:val="both"/>
              <w:rPr>
                <w:rFonts w:asciiTheme="minorHAnsi" w:hAnsiTheme="minorHAnsi"/>
                <w:color w:val="333333"/>
                <w:sz w:val="22"/>
                <w:szCs w:val="22"/>
              </w:rPr>
            </w:pPr>
            <w:r w:rsidRPr="003A5C41">
              <w:rPr>
                <w:rFonts w:asciiTheme="minorHAnsi" w:hAnsiTheme="minorHAnsi"/>
                <w:color w:val="333333"/>
                <w:sz w:val="22"/>
                <w:szCs w:val="22"/>
              </w:rPr>
              <w:t>Παράλληλα, οι αποδόσεις των καταθέσεων τείνουν να αυξηθούν.</w:t>
            </w:r>
          </w:p>
        </w:tc>
        <w:tc>
          <w:tcPr>
            <w:tcW w:w="3827" w:type="dxa"/>
            <w:tcBorders>
              <w:top w:val="single" w:sz="1" w:space="0" w:color="C5D4EC"/>
              <w:left w:val="single" w:sz="1" w:space="0" w:color="C5D4EC"/>
              <w:bottom w:val="single" w:sz="1" w:space="0" w:color="C5D4EC"/>
              <w:right w:val="single" w:sz="1" w:space="0" w:color="C5D4EC"/>
            </w:tcBorders>
            <w:shd w:val="clear" w:color="auto" w:fill="E8EEF7"/>
          </w:tcPr>
          <w:p w14:paraId="14593E04" w14:textId="77777777" w:rsidR="003A5C41" w:rsidRDefault="000D1A30" w:rsidP="004B3EBE">
            <w:pPr>
              <w:spacing w:before="60" w:after="80"/>
              <w:jc w:val="both"/>
              <w:rPr>
                <w:rFonts w:asciiTheme="minorHAnsi" w:hAnsiTheme="minorHAnsi"/>
                <w:color w:val="333333"/>
                <w:sz w:val="22"/>
                <w:szCs w:val="22"/>
              </w:rPr>
            </w:pPr>
            <w:r w:rsidRPr="003A5C41">
              <w:rPr>
                <w:rFonts w:asciiTheme="minorHAnsi" w:hAnsiTheme="minorHAnsi"/>
                <w:color w:val="333333"/>
                <w:sz w:val="22"/>
                <w:szCs w:val="22"/>
              </w:rPr>
              <w:t xml:space="preserve">Αυξάνεται το κόστος χρηματοδότησης και οι συνθήκες δανεισμού γίνονται αυστηρότερες. </w:t>
            </w:r>
          </w:p>
          <w:p w14:paraId="52458C37" w14:textId="43E7B84C" w:rsidR="00067786" w:rsidRPr="003A5C41" w:rsidRDefault="000D1A30" w:rsidP="004B3EBE">
            <w:pPr>
              <w:spacing w:before="60" w:after="80"/>
              <w:jc w:val="both"/>
              <w:rPr>
                <w:rFonts w:asciiTheme="minorHAnsi" w:hAnsiTheme="minorHAnsi"/>
                <w:color w:val="333333"/>
                <w:sz w:val="22"/>
                <w:szCs w:val="22"/>
              </w:rPr>
            </w:pPr>
            <w:r w:rsidRPr="003A5C41">
              <w:rPr>
                <w:rFonts w:asciiTheme="minorHAnsi" w:hAnsiTheme="minorHAnsi"/>
                <w:color w:val="333333"/>
                <w:sz w:val="22"/>
                <w:szCs w:val="22"/>
              </w:rPr>
              <w:t>Έτσι, περιορίζονται η κατανάλωση, οι επενδύσεις και η συνολική ζήτηση, γεγονός που συμβάλλει σ</w:t>
            </w:r>
            <w:r w:rsidR="003A5C41">
              <w:rPr>
                <w:rFonts w:asciiTheme="minorHAnsi" w:hAnsiTheme="minorHAnsi"/>
                <w:color w:val="333333"/>
                <w:sz w:val="22"/>
                <w:szCs w:val="22"/>
              </w:rPr>
              <w:t>ε</w:t>
            </w:r>
            <w:r w:rsidRPr="003A5C41">
              <w:rPr>
                <w:rFonts w:asciiTheme="minorHAnsi" w:hAnsiTheme="minorHAnsi"/>
                <w:color w:val="333333"/>
                <w:sz w:val="22"/>
                <w:szCs w:val="22"/>
              </w:rPr>
              <w:t xml:space="preserve"> υποχώρηση των πληθωριστικών</w:t>
            </w:r>
            <w:r w:rsidR="003A5C41">
              <w:rPr>
                <w:rFonts w:asciiTheme="minorHAnsi" w:hAnsiTheme="minorHAnsi"/>
                <w:color w:val="333333"/>
                <w:sz w:val="22"/>
                <w:szCs w:val="22"/>
              </w:rPr>
              <w:t xml:space="preserve"> πιέσεων.</w:t>
            </w:r>
          </w:p>
        </w:tc>
      </w:tr>
      <w:tr w:rsidR="006F7D2A" w:rsidRPr="003A5C41" w14:paraId="34CC0712" w14:textId="77777777" w:rsidTr="003A5C41">
        <w:trPr>
          <w:gridAfter w:val="1"/>
          <w:wAfter w:w="47" w:type="dxa"/>
        </w:trPr>
        <w:tc>
          <w:tcPr>
            <w:tcW w:w="10206" w:type="dxa"/>
            <w:gridSpan w:val="3"/>
            <w:tcBorders>
              <w:top w:val="none" w:sz="0" w:space="0" w:color="FFFFFF"/>
              <w:left w:val="none" w:sz="0" w:space="0" w:color="FFFFFF"/>
              <w:bottom w:val="none" w:sz="0" w:space="0" w:color="FFFFFF"/>
              <w:right w:val="none" w:sz="0" w:space="0" w:color="FFFFFF"/>
            </w:tcBorders>
            <w:shd w:val="clear" w:color="auto" w:fill="002060"/>
            <w:tcMar>
              <w:top w:w="100" w:type="dxa"/>
              <w:left w:w="160" w:type="dxa"/>
              <w:bottom w:w="100" w:type="dxa"/>
              <w:right w:w="160" w:type="dxa"/>
            </w:tcMar>
          </w:tcPr>
          <w:p w14:paraId="66EBCC65" w14:textId="537281FA" w:rsidR="00FC7A83" w:rsidRPr="003A5C41" w:rsidRDefault="00FC7A83" w:rsidP="00BC3591">
            <w:pPr>
              <w:jc w:val="center"/>
              <w:rPr>
                <w:rFonts w:asciiTheme="minorHAnsi" w:hAnsiTheme="minorHAnsi"/>
                <w:b/>
                <w:color w:val="FFFFFF"/>
                <w:sz w:val="22"/>
                <w:szCs w:val="22"/>
              </w:rPr>
            </w:pPr>
            <w:r w:rsidRPr="003A5C41">
              <w:rPr>
                <w:rFonts w:asciiTheme="minorHAnsi" w:hAnsiTheme="minorHAnsi"/>
                <w:b/>
                <w:color w:val="FFFFFF"/>
                <w:sz w:val="22"/>
                <w:szCs w:val="22"/>
              </w:rPr>
              <w:t xml:space="preserve">Περίπτωση </w:t>
            </w:r>
            <w:r w:rsidRPr="003A5C41">
              <w:rPr>
                <w:rFonts w:asciiTheme="minorHAnsi" w:hAnsiTheme="minorHAnsi"/>
                <w:b/>
                <w:color w:val="FF0000"/>
                <w:sz w:val="22"/>
                <w:szCs w:val="22"/>
              </w:rPr>
              <w:t xml:space="preserve">καθοδικών </w:t>
            </w:r>
            <w:r w:rsidRPr="003A5C41">
              <w:rPr>
                <w:rFonts w:asciiTheme="minorHAnsi" w:hAnsiTheme="minorHAnsi"/>
                <w:b/>
                <w:color w:val="FFFFFF"/>
                <w:sz w:val="22"/>
                <w:szCs w:val="22"/>
              </w:rPr>
              <w:t xml:space="preserve">πιέσεων στις τιμές </w:t>
            </w:r>
          </w:p>
          <w:p w14:paraId="7F0D1ADA" w14:textId="7A9BA290" w:rsidR="00FC7A83" w:rsidRPr="003A5C41" w:rsidRDefault="00FC7A83" w:rsidP="00BC3591">
            <w:pPr>
              <w:jc w:val="center"/>
              <w:rPr>
                <w:rFonts w:asciiTheme="minorHAnsi" w:hAnsiTheme="minorHAnsi"/>
                <w:b/>
                <w:color w:val="FFFFFF"/>
                <w:sz w:val="22"/>
                <w:szCs w:val="22"/>
              </w:rPr>
            </w:pPr>
            <w:r w:rsidRPr="003A5C41">
              <w:rPr>
                <w:rFonts w:asciiTheme="minorHAnsi" w:hAnsiTheme="minorHAnsi"/>
                <w:b/>
                <w:color w:val="FFFFFF"/>
                <w:sz w:val="22"/>
                <w:szCs w:val="22"/>
              </w:rPr>
              <w:t xml:space="preserve">που οδηγούν σε πληθωρισμό χαμηλότερο του στόχου μεσοπρόθεσμα </w:t>
            </w:r>
          </w:p>
        </w:tc>
      </w:tr>
      <w:tr w:rsidR="003A5C41" w:rsidRPr="005C1969" w14:paraId="48BE408E" w14:textId="77777777" w:rsidTr="002C7066">
        <w:tc>
          <w:tcPr>
            <w:tcW w:w="2268" w:type="dxa"/>
            <w:tcBorders>
              <w:top w:val="single" w:sz="1" w:space="0" w:color="C5D4EC"/>
              <w:left w:val="single" w:sz="1" w:space="0" w:color="C5D4EC"/>
              <w:bottom w:val="single" w:sz="1" w:space="0" w:color="C5D4EC"/>
              <w:right w:val="single" w:sz="1" w:space="0" w:color="C5D4EC"/>
            </w:tcBorders>
            <w:shd w:val="clear" w:color="auto" w:fill="A5C9EB" w:themeFill="text2" w:themeFillTint="40"/>
            <w:tcMar>
              <w:top w:w="80" w:type="dxa"/>
              <w:left w:w="160" w:type="dxa"/>
              <w:bottom w:w="80" w:type="dxa"/>
              <w:right w:w="120" w:type="dxa"/>
            </w:tcMar>
            <w:vAlign w:val="center"/>
          </w:tcPr>
          <w:p w14:paraId="11A1FBCE" w14:textId="2C9FA645" w:rsidR="003A5C41" w:rsidRPr="00815A89" w:rsidRDefault="003A5C41" w:rsidP="002C7066">
            <w:pPr>
              <w:spacing w:after="120"/>
              <w:jc w:val="center"/>
              <w:rPr>
                <w:rFonts w:asciiTheme="majorHAnsi" w:hAnsiTheme="majorHAnsi"/>
                <w:b/>
                <w:bCs/>
                <w:color w:val="FFFFFF" w:themeColor="background1"/>
                <w:sz w:val="22"/>
                <w:szCs w:val="22"/>
              </w:rPr>
            </w:pPr>
            <w:r w:rsidRPr="00815A89">
              <w:rPr>
                <w:rFonts w:asciiTheme="majorHAnsi" w:hAnsiTheme="majorHAnsi"/>
                <w:b/>
                <w:bCs/>
                <w:color w:val="FFFFFF" w:themeColor="background1"/>
                <w:sz w:val="22"/>
                <w:szCs w:val="22"/>
              </w:rPr>
              <w:t>Απόφαση</w:t>
            </w:r>
          </w:p>
        </w:tc>
        <w:tc>
          <w:tcPr>
            <w:tcW w:w="4111" w:type="dxa"/>
            <w:tcBorders>
              <w:top w:val="single" w:sz="1" w:space="0" w:color="C5D4EC"/>
              <w:left w:val="single" w:sz="1" w:space="0" w:color="C5D4EC"/>
              <w:bottom w:val="single" w:sz="1" w:space="0" w:color="C5D4EC"/>
              <w:right w:val="single" w:sz="1" w:space="0" w:color="C5D4EC"/>
            </w:tcBorders>
            <w:shd w:val="clear" w:color="auto" w:fill="A5C9EB" w:themeFill="text2" w:themeFillTint="40"/>
            <w:tcMar>
              <w:top w:w="80" w:type="dxa"/>
              <w:left w:w="120" w:type="dxa"/>
              <w:bottom w:w="80" w:type="dxa"/>
              <w:right w:w="160" w:type="dxa"/>
            </w:tcMar>
            <w:vAlign w:val="center"/>
          </w:tcPr>
          <w:p w14:paraId="0E45D339" w14:textId="77777777" w:rsidR="003A5C41" w:rsidRPr="00815A89" w:rsidRDefault="003A5C41" w:rsidP="002C7066">
            <w:pPr>
              <w:spacing w:before="60" w:after="120"/>
              <w:jc w:val="center"/>
              <w:rPr>
                <w:rFonts w:asciiTheme="majorHAnsi" w:hAnsiTheme="majorHAnsi"/>
                <w:b/>
                <w:bCs/>
                <w:color w:val="FFFFFF" w:themeColor="background1"/>
                <w:sz w:val="22"/>
                <w:szCs w:val="22"/>
              </w:rPr>
            </w:pPr>
            <w:r w:rsidRPr="00815A89">
              <w:rPr>
                <w:rFonts w:asciiTheme="majorHAnsi" w:hAnsiTheme="majorHAnsi"/>
                <w:b/>
                <w:bCs/>
                <w:color w:val="FFFFFF" w:themeColor="background1"/>
                <w:sz w:val="22"/>
                <w:szCs w:val="22"/>
              </w:rPr>
              <w:t>Τι σημαίνει για εσάς</w:t>
            </w:r>
          </w:p>
        </w:tc>
        <w:tc>
          <w:tcPr>
            <w:tcW w:w="3874" w:type="dxa"/>
            <w:gridSpan w:val="2"/>
            <w:tcBorders>
              <w:top w:val="single" w:sz="1" w:space="0" w:color="C5D4EC"/>
              <w:left w:val="single" w:sz="1" w:space="0" w:color="C5D4EC"/>
              <w:bottom w:val="single" w:sz="1" w:space="0" w:color="C5D4EC"/>
              <w:right w:val="single" w:sz="1" w:space="0" w:color="C5D4EC"/>
            </w:tcBorders>
            <w:shd w:val="clear" w:color="auto" w:fill="A5C9EB" w:themeFill="text2" w:themeFillTint="40"/>
            <w:vAlign w:val="center"/>
          </w:tcPr>
          <w:p w14:paraId="27C4ECD4" w14:textId="77777777" w:rsidR="003A5C41" w:rsidRPr="00815A89" w:rsidRDefault="003A5C41" w:rsidP="002C7066">
            <w:pPr>
              <w:spacing w:before="60" w:after="120"/>
              <w:jc w:val="center"/>
              <w:rPr>
                <w:rFonts w:asciiTheme="majorHAnsi" w:hAnsiTheme="majorHAnsi"/>
                <w:b/>
                <w:bCs/>
                <w:color w:val="FFFFFF" w:themeColor="background1"/>
                <w:sz w:val="22"/>
                <w:szCs w:val="22"/>
              </w:rPr>
            </w:pPr>
            <w:r w:rsidRPr="00815A89">
              <w:rPr>
                <w:rFonts w:asciiTheme="majorHAnsi" w:hAnsiTheme="majorHAnsi"/>
                <w:b/>
                <w:bCs/>
                <w:color w:val="FFFFFF" w:themeColor="background1"/>
                <w:sz w:val="22"/>
                <w:szCs w:val="22"/>
              </w:rPr>
              <w:t>Τι σημαίνει για την οικονομία</w:t>
            </w:r>
          </w:p>
        </w:tc>
      </w:tr>
      <w:tr w:rsidR="00E06903" w:rsidRPr="005C1969" w14:paraId="12CABF2B" w14:textId="321D2C8A" w:rsidTr="00815A89">
        <w:tc>
          <w:tcPr>
            <w:tcW w:w="2268" w:type="dxa"/>
            <w:tcBorders>
              <w:top w:val="single" w:sz="1" w:space="0" w:color="C5D4EC"/>
              <w:left w:val="single" w:sz="1" w:space="0" w:color="C5D4EC"/>
              <w:bottom w:val="single" w:sz="1" w:space="0" w:color="C5D4EC"/>
              <w:right w:val="single" w:sz="1" w:space="0" w:color="C5D4EC"/>
            </w:tcBorders>
            <w:shd w:val="clear" w:color="auto" w:fill="F5F8FF"/>
            <w:tcMar>
              <w:top w:w="80" w:type="dxa"/>
              <w:left w:w="160" w:type="dxa"/>
              <w:bottom w:w="80" w:type="dxa"/>
              <w:right w:w="120" w:type="dxa"/>
            </w:tcMar>
          </w:tcPr>
          <w:p w14:paraId="38EC7B18" w14:textId="0E749C38" w:rsidR="00D54B1E" w:rsidRPr="003A5C41" w:rsidRDefault="00D54B1E" w:rsidP="00815A89">
            <w:pPr>
              <w:spacing w:before="60" w:after="80"/>
              <w:rPr>
                <w:rFonts w:asciiTheme="minorHAnsi" w:hAnsiTheme="minorHAnsi"/>
                <w:b/>
                <w:bCs/>
                <w:color w:val="333333"/>
                <w:sz w:val="22"/>
                <w:szCs w:val="22"/>
              </w:rPr>
            </w:pPr>
            <w:r w:rsidRPr="003A5C41">
              <w:rPr>
                <w:rFonts w:asciiTheme="minorHAnsi" w:hAnsiTheme="minorHAnsi"/>
                <w:b/>
                <w:bCs/>
                <w:color w:val="333333"/>
                <w:sz w:val="22"/>
                <w:szCs w:val="22"/>
              </w:rPr>
              <w:t xml:space="preserve">Μείωση </w:t>
            </w:r>
            <w:r w:rsidR="00815A89">
              <w:rPr>
                <w:rFonts w:asciiTheme="minorHAnsi" w:hAnsiTheme="minorHAnsi"/>
                <w:b/>
                <w:bCs/>
                <w:color w:val="333333"/>
                <w:sz w:val="22"/>
                <w:szCs w:val="22"/>
              </w:rPr>
              <w:t>ε</w:t>
            </w:r>
            <w:r w:rsidRPr="003A5C41">
              <w:rPr>
                <w:rFonts w:asciiTheme="minorHAnsi" w:hAnsiTheme="minorHAnsi"/>
                <w:b/>
                <w:bCs/>
                <w:color w:val="333333"/>
                <w:sz w:val="22"/>
                <w:szCs w:val="22"/>
              </w:rPr>
              <w:t>πιτοκίων</w:t>
            </w:r>
          </w:p>
          <w:p w14:paraId="7EA55E05" w14:textId="20C69BD2" w:rsidR="00D54B1E" w:rsidRPr="003A5C41" w:rsidRDefault="00D54B1E" w:rsidP="00815A89">
            <w:pPr>
              <w:spacing w:before="60" w:after="80"/>
              <w:rPr>
                <w:rFonts w:asciiTheme="minorHAnsi" w:hAnsiTheme="minorHAnsi"/>
                <w:color w:val="333333"/>
                <w:sz w:val="22"/>
                <w:szCs w:val="22"/>
              </w:rPr>
            </w:pPr>
            <w:r w:rsidRPr="003A5C41">
              <w:rPr>
                <w:rFonts w:asciiTheme="minorHAnsi" w:hAnsiTheme="minorHAnsi"/>
                <w:color w:val="333333"/>
                <w:sz w:val="22"/>
                <w:szCs w:val="22"/>
              </w:rPr>
              <w:t xml:space="preserve">Πιο </w:t>
            </w:r>
            <w:proofErr w:type="spellStart"/>
            <w:r w:rsidRPr="003A5C41">
              <w:rPr>
                <w:rFonts w:asciiTheme="minorHAnsi" w:hAnsiTheme="minorHAnsi"/>
                <w:color w:val="333333"/>
                <w:sz w:val="22"/>
                <w:szCs w:val="22"/>
              </w:rPr>
              <w:t>διευκολυντική</w:t>
            </w:r>
            <w:proofErr w:type="spellEnd"/>
            <w:r w:rsidRPr="003A5C41">
              <w:rPr>
                <w:rFonts w:asciiTheme="minorHAnsi" w:hAnsiTheme="minorHAnsi"/>
                <w:color w:val="333333"/>
                <w:sz w:val="22"/>
                <w:szCs w:val="22"/>
              </w:rPr>
              <w:t xml:space="preserve"> κατεύθυνση της νομισματικής πολιτικής</w:t>
            </w:r>
          </w:p>
        </w:tc>
        <w:tc>
          <w:tcPr>
            <w:tcW w:w="4111" w:type="dxa"/>
            <w:tcBorders>
              <w:top w:val="single" w:sz="1" w:space="0" w:color="C5D4EC"/>
              <w:left w:val="single" w:sz="1" w:space="0" w:color="C5D4EC"/>
              <w:bottom w:val="single" w:sz="1" w:space="0" w:color="C5D4EC"/>
              <w:right w:val="single" w:sz="1" w:space="0" w:color="C5D4EC"/>
            </w:tcBorders>
            <w:shd w:val="clear" w:color="auto" w:fill="F5F8FF"/>
            <w:tcMar>
              <w:top w:w="80" w:type="dxa"/>
              <w:left w:w="120" w:type="dxa"/>
              <w:bottom w:w="80" w:type="dxa"/>
              <w:right w:w="160" w:type="dxa"/>
            </w:tcMar>
          </w:tcPr>
          <w:p w14:paraId="052952BA" w14:textId="77777777" w:rsidR="00D54B1E" w:rsidRPr="003A5C41" w:rsidRDefault="00D54B1E" w:rsidP="004135DB">
            <w:pPr>
              <w:spacing w:before="60" w:after="80"/>
              <w:jc w:val="both"/>
              <w:rPr>
                <w:rFonts w:asciiTheme="minorHAnsi" w:hAnsiTheme="minorHAnsi"/>
                <w:color w:val="333333"/>
                <w:sz w:val="22"/>
                <w:szCs w:val="22"/>
              </w:rPr>
            </w:pPr>
            <w:r w:rsidRPr="003A5C41">
              <w:rPr>
                <w:rFonts w:asciiTheme="minorHAnsi" w:hAnsiTheme="minorHAnsi"/>
                <w:color w:val="333333"/>
                <w:sz w:val="22"/>
                <w:szCs w:val="22"/>
              </w:rPr>
              <w:t>Τα νέα δάνεια προς νοικοκυριά και επιχειρήσεις τείνουν να έχουν χαμηλότερο επιτόκιο, ενώ στα υφιστάμενα δάνεια με κυμαινόμενο επιτόκιο μπορεί να μειωθούν οι τόκοι και, κατά συνέπεια, οι μηνιαίες δόσεις.</w:t>
            </w:r>
          </w:p>
          <w:p w14:paraId="09C62D76" w14:textId="1DE8E5A3" w:rsidR="00D54B1E" w:rsidRPr="003A5C41" w:rsidRDefault="00D54B1E" w:rsidP="004135DB">
            <w:pPr>
              <w:spacing w:before="60" w:after="80"/>
              <w:jc w:val="both"/>
              <w:rPr>
                <w:rFonts w:asciiTheme="minorHAnsi" w:hAnsiTheme="minorHAnsi"/>
                <w:sz w:val="22"/>
                <w:szCs w:val="22"/>
              </w:rPr>
            </w:pPr>
            <w:r w:rsidRPr="003A5C41">
              <w:rPr>
                <w:rFonts w:asciiTheme="minorHAnsi" w:hAnsiTheme="minorHAnsi"/>
                <w:color w:val="333333"/>
                <w:sz w:val="22"/>
                <w:szCs w:val="22"/>
              </w:rPr>
              <w:t>Παράλληλα, οι αποδόσεις των καταθέσεων τείνουν να μειωθούν.</w:t>
            </w:r>
          </w:p>
        </w:tc>
        <w:tc>
          <w:tcPr>
            <w:tcW w:w="3874" w:type="dxa"/>
            <w:gridSpan w:val="2"/>
            <w:tcBorders>
              <w:top w:val="single" w:sz="1" w:space="0" w:color="C5D4EC"/>
              <w:left w:val="single" w:sz="1" w:space="0" w:color="C5D4EC"/>
              <w:bottom w:val="single" w:sz="1" w:space="0" w:color="C5D4EC"/>
              <w:right w:val="single" w:sz="1" w:space="0" w:color="C5D4EC"/>
            </w:tcBorders>
            <w:shd w:val="clear" w:color="auto" w:fill="F5F8FF"/>
          </w:tcPr>
          <w:p w14:paraId="08988129" w14:textId="77777777" w:rsidR="003A5C41" w:rsidRDefault="00D54B1E" w:rsidP="004135DB">
            <w:pPr>
              <w:spacing w:before="60" w:after="80"/>
              <w:jc w:val="both"/>
              <w:rPr>
                <w:rFonts w:asciiTheme="minorHAnsi" w:hAnsiTheme="minorHAnsi"/>
                <w:color w:val="333333"/>
                <w:sz w:val="22"/>
                <w:szCs w:val="22"/>
              </w:rPr>
            </w:pPr>
            <w:r w:rsidRPr="003A5C41">
              <w:rPr>
                <w:rFonts w:asciiTheme="minorHAnsi" w:hAnsiTheme="minorHAnsi"/>
                <w:color w:val="333333"/>
                <w:sz w:val="22"/>
                <w:szCs w:val="22"/>
              </w:rPr>
              <w:t xml:space="preserve">Περιορίζεται το κόστος χρηματοδότησης και οι συνθήκες δανεισμού γίνονται πιο ευνοϊκές. </w:t>
            </w:r>
          </w:p>
          <w:p w14:paraId="244268DA" w14:textId="1EDD55CA" w:rsidR="00D54B1E" w:rsidRPr="003A5C41" w:rsidRDefault="00D54B1E" w:rsidP="004135DB">
            <w:pPr>
              <w:spacing w:before="60" w:after="80"/>
              <w:jc w:val="both"/>
              <w:rPr>
                <w:rFonts w:asciiTheme="minorHAnsi" w:hAnsiTheme="minorHAnsi"/>
                <w:color w:val="333333"/>
                <w:sz w:val="22"/>
                <w:szCs w:val="22"/>
              </w:rPr>
            </w:pPr>
            <w:r w:rsidRPr="003A5C41">
              <w:rPr>
                <w:rFonts w:asciiTheme="minorHAnsi" w:hAnsiTheme="minorHAnsi"/>
                <w:color w:val="333333"/>
                <w:sz w:val="22"/>
                <w:szCs w:val="22"/>
              </w:rPr>
              <w:t>Έτσι, ενισχύονται η κατανάλωση, οι επενδύσεις και η συνολική ζήτηση, γεγονός που συμβάλλει σ</w:t>
            </w:r>
            <w:r w:rsidR="003A5C41">
              <w:rPr>
                <w:rFonts w:asciiTheme="minorHAnsi" w:hAnsiTheme="minorHAnsi"/>
                <w:color w:val="333333"/>
                <w:sz w:val="22"/>
                <w:szCs w:val="22"/>
              </w:rPr>
              <w:t>ε</w:t>
            </w:r>
            <w:r w:rsidRPr="003A5C41">
              <w:rPr>
                <w:rFonts w:asciiTheme="minorHAnsi" w:hAnsiTheme="minorHAnsi"/>
                <w:color w:val="333333"/>
                <w:sz w:val="22"/>
                <w:szCs w:val="22"/>
              </w:rPr>
              <w:t xml:space="preserve"> ενίσχυση των πληθωριστικών πιέσεων. </w:t>
            </w:r>
          </w:p>
        </w:tc>
      </w:tr>
    </w:tbl>
    <w:p w14:paraId="6A674EE6" w14:textId="77777777" w:rsidR="00086A0E" w:rsidRPr="0061075B" w:rsidRDefault="00086A0E" w:rsidP="00086A0E">
      <w:pPr>
        <w:pBdr>
          <w:bottom w:val="single" w:sz="4" w:space="1" w:color="C5D4EC"/>
        </w:pBdr>
        <w:spacing w:before="160" w:after="160"/>
        <w:rPr>
          <w:rFonts w:asciiTheme="minorHAnsi" w:hAnsiTheme="minorHAnsi"/>
          <w:sz w:val="4"/>
          <w:szCs w:val="4"/>
        </w:rPr>
      </w:pPr>
    </w:p>
    <w:p w14:paraId="05E9CAE5" w14:textId="367D0EE0" w:rsidR="003B44BC" w:rsidRPr="006D194C" w:rsidRDefault="00DE6327">
      <w:pPr>
        <w:spacing w:before="280" w:after="120"/>
        <w:rPr>
          <w:rFonts w:asciiTheme="minorHAnsi" w:hAnsiTheme="minorHAnsi"/>
        </w:rPr>
      </w:pPr>
      <w:r>
        <w:rPr>
          <w:rFonts w:asciiTheme="minorHAnsi" w:hAnsiTheme="minorHAnsi"/>
          <w:b/>
          <w:bCs/>
          <w:color w:val="003087"/>
          <w:sz w:val="28"/>
          <w:szCs w:val="28"/>
        </w:rPr>
        <w:t>9.</w:t>
      </w:r>
      <w:r w:rsidRPr="006D194C">
        <w:rPr>
          <w:rFonts w:asciiTheme="minorHAnsi" w:hAnsiTheme="minorHAnsi"/>
          <w:b/>
          <w:color w:val="003087"/>
          <w:sz w:val="28"/>
        </w:rPr>
        <w:t xml:space="preserve"> </w:t>
      </w:r>
      <w:r w:rsidR="00C12D14" w:rsidRPr="006D194C">
        <w:rPr>
          <w:rFonts w:asciiTheme="minorHAnsi" w:hAnsiTheme="minorHAnsi"/>
          <w:b/>
          <w:color w:val="003087"/>
          <w:sz w:val="28"/>
        </w:rPr>
        <w:t xml:space="preserve">Γιατί η κεντρική τράπεζα </w:t>
      </w:r>
      <w:r w:rsidR="00ED3C76">
        <w:rPr>
          <w:rFonts w:asciiTheme="minorHAnsi" w:hAnsiTheme="minorHAnsi"/>
          <w:b/>
          <w:color w:val="003087"/>
          <w:sz w:val="28"/>
        </w:rPr>
        <w:t xml:space="preserve">πρέπει </w:t>
      </w:r>
      <w:r w:rsidR="00101134" w:rsidRPr="006D194C">
        <w:rPr>
          <w:rFonts w:asciiTheme="minorHAnsi" w:hAnsiTheme="minorHAnsi"/>
          <w:b/>
          <w:color w:val="003087"/>
          <w:sz w:val="28"/>
        </w:rPr>
        <w:t>να</w:t>
      </w:r>
      <w:r w:rsidR="00C12D14" w:rsidRPr="006D194C">
        <w:rPr>
          <w:rFonts w:asciiTheme="minorHAnsi" w:hAnsiTheme="minorHAnsi"/>
          <w:b/>
          <w:color w:val="003087"/>
          <w:sz w:val="28"/>
        </w:rPr>
        <w:t xml:space="preserve"> </w:t>
      </w:r>
      <w:r w:rsidR="00101134" w:rsidRPr="006D194C">
        <w:rPr>
          <w:rFonts w:asciiTheme="minorHAnsi" w:hAnsiTheme="minorHAnsi"/>
          <w:b/>
          <w:color w:val="003087"/>
          <w:sz w:val="28"/>
        </w:rPr>
        <w:t xml:space="preserve">είναι </w:t>
      </w:r>
      <w:r w:rsidR="00C12D14" w:rsidRPr="006D194C">
        <w:rPr>
          <w:rFonts w:asciiTheme="minorHAnsi" w:hAnsiTheme="minorHAnsi"/>
          <w:b/>
          <w:color w:val="003087"/>
          <w:sz w:val="28"/>
        </w:rPr>
        <w:t>ανεξάρτητη;</w:t>
      </w:r>
    </w:p>
    <w:p w14:paraId="6333CC4D" w14:textId="77777777" w:rsidR="00251AC7" w:rsidRPr="00760CEE" w:rsidRDefault="00251AC7" w:rsidP="00A50097">
      <w:pPr>
        <w:spacing w:before="60" w:after="80"/>
        <w:jc w:val="both"/>
        <w:rPr>
          <w:rFonts w:asciiTheme="minorHAnsi" w:hAnsiTheme="minorHAnsi"/>
          <w:color w:val="333333"/>
          <w:sz w:val="22"/>
          <w:szCs w:val="22"/>
        </w:rPr>
      </w:pPr>
      <w:r w:rsidRPr="00760CEE">
        <w:rPr>
          <w:rFonts w:asciiTheme="minorHAnsi" w:hAnsiTheme="minorHAnsi"/>
          <w:color w:val="333333"/>
          <w:sz w:val="22"/>
          <w:szCs w:val="22"/>
        </w:rPr>
        <w:t>Μπορεί να αναρωτηθεί κανείς γιατί η νομισματική πολιτική δεν ασκείται από την κυβέρνηση, όπως συμβαίνει με τη δημοσιονομική πολιτική. Η απάντηση βρίσκεται τόσο στα διδάγματα της ιστορίας όσο και σε μελέτες που δείχνουν ότι η θεσμική ανεξαρτησία των κεντρικών τραπεζών ενισχύει την ικανότητά τους να διατηρούν χαμηλό και σταθερό πληθωρισμό.</w:t>
      </w:r>
    </w:p>
    <w:p w14:paraId="04713A59" w14:textId="20498073" w:rsidR="00656544" w:rsidRPr="00760CEE" w:rsidRDefault="00656544" w:rsidP="00A50097">
      <w:pPr>
        <w:spacing w:before="160"/>
        <w:jc w:val="both"/>
        <w:rPr>
          <w:rFonts w:asciiTheme="minorHAnsi" w:hAnsiTheme="minorHAnsi"/>
          <w:color w:val="333333"/>
          <w:sz w:val="22"/>
          <w:szCs w:val="22"/>
        </w:rPr>
      </w:pPr>
      <w:r w:rsidRPr="00760CEE">
        <w:rPr>
          <w:rFonts w:asciiTheme="minorHAnsi" w:hAnsiTheme="minorHAnsi"/>
          <w:color w:val="333333"/>
          <w:sz w:val="22"/>
          <w:szCs w:val="22"/>
        </w:rPr>
        <w:lastRenderedPageBreak/>
        <w:t xml:space="preserve">Αν η νομισματική πολιτική επηρεαζόταν από άλλες σκοπιμότητες, θα υπήρχε ο κίνδυνος να </w:t>
      </w:r>
      <w:r w:rsidR="008C726D" w:rsidRPr="00760CEE">
        <w:rPr>
          <w:rFonts w:asciiTheme="minorHAnsi" w:hAnsiTheme="minorHAnsi"/>
          <w:color w:val="333333"/>
          <w:sz w:val="22"/>
          <w:szCs w:val="22"/>
        </w:rPr>
        <w:t xml:space="preserve">αναβάλλονται </w:t>
      </w:r>
      <w:r w:rsidRPr="00760CEE">
        <w:rPr>
          <w:rFonts w:asciiTheme="minorHAnsi" w:hAnsiTheme="minorHAnsi"/>
          <w:color w:val="333333"/>
          <w:sz w:val="22"/>
          <w:szCs w:val="22"/>
        </w:rPr>
        <w:t>αυξήσεις επιτοκίων σε περιόδους υψηλού πληθωρισμού, προκειμένου να στηριχθεί προσωρινά η οικονομική δραστηριότητα. Κάτι τέτοιο, όμως, μακροπρόθεσμα θα μπορούσε να οδηγήσει σε επίμονο πληθωρισμό, απώλεια αγοραστικής δύναμης και μεγαλύτερο κόστος για την κοινωνία</w:t>
      </w:r>
      <w:r w:rsidR="00B61340" w:rsidRPr="00760CEE">
        <w:rPr>
          <w:rFonts w:asciiTheme="minorHAnsi" w:hAnsiTheme="minorHAnsi"/>
          <w:color w:val="333333"/>
          <w:sz w:val="22"/>
          <w:szCs w:val="22"/>
        </w:rPr>
        <w:t>, χ</w:t>
      </w:r>
      <w:r w:rsidR="00966CD1" w:rsidRPr="00760CEE">
        <w:rPr>
          <w:rFonts w:asciiTheme="minorHAnsi" w:hAnsiTheme="minorHAnsi"/>
          <w:color w:val="333333"/>
          <w:sz w:val="22"/>
          <w:szCs w:val="22"/>
        </w:rPr>
        <w:t>ωρίς θετικό αντίκτυπο στην ανάπτυξη.</w:t>
      </w:r>
    </w:p>
    <w:p w14:paraId="4034F1B7" w14:textId="77777777" w:rsidR="0024543E" w:rsidRPr="00760CEE" w:rsidRDefault="00656544" w:rsidP="00A50097">
      <w:pPr>
        <w:spacing w:before="80"/>
        <w:jc w:val="both"/>
        <w:rPr>
          <w:rFonts w:asciiTheme="minorHAnsi" w:hAnsiTheme="minorHAnsi"/>
          <w:color w:val="333333"/>
          <w:sz w:val="22"/>
          <w:szCs w:val="22"/>
        </w:rPr>
      </w:pPr>
      <w:r w:rsidRPr="00760CEE">
        <w:rPr>
          <w:rFonts w:asciiTheme="minorHAnsi" w:hAnsiTheme="minorHAnsi"/>
          <w:color w:val="333333"/>
          <w:sz w:val="22"/>
          <w:szCs w:val="22"/>
        </w:rPr>
        <w:t xml:space="preserve">Γι’ αυτό η ανεξαρτησία των κεντρικών τραπεζών διασφαλίζει ότι η νομισματική πολιτική ασκείται στο πλαίσιο μιας σαφώς καθορισμένης εντολής, με κύριο γνώμονα τη σταθερότητα των τιμών. </w:t>
      </w:r>
    </w:p>
    <w:p w14:paraId="6A50C21E" w14:textId="535600ED" w:rsidR="003B44BC" w:rsidRDefault="009A428E" w:rsidP="00A50097">
      <w:pPr>
        <w:spacing w:before="80"/>
        <w:jc w:val="both"/>
        <w:rPr>
          <w:rFonts w:asciiTheme="minorHAnsi" w:hAnsiTheme="minorHAnsi"/>
          <w:color w:val="333333"/>
          <w:sz w:val="22"/>
          <w:szCs w:val="22"/>
        </w:rPr>
      </w:pPr>
      <w:r w:rsidRPr="00760CEE">
        <w:rPr>
          <w:rFonts w:asciiTheme="minorHAnsi" w:hAnsiTheme="minorHAnsi"/>
          <w:color w:val="333333"/>
          <w:sz w:val="22"/>
          <w:szCs w:val="22"/>
        </w:rPr>
        <w:t>Φυσικά</w:t>
      </w:r>
      <w:r w:rsidR="00A50097" w:rsidRPr="00760CEE">
        <w:rPr>
          <w:rFonts w:asciiTheme="minorHAnsi" w:hAnsiTheme="minorHAnsi"/>
          <w:color w:val="333333"/>
          <w:sz w:val="22"/>
          <w:szCs w:val="22"/>
        </w:rPr>
        <w:t>,</w:t>
      </w:r>
      <w:r w:rsidRPr="00760CEE">
        <w:rPr>
          <w:rFonts w:asciiTheme="minorHAnsi" w:hAnsiTheme="minorHAnsi"/>
          <w:color w:val="333333"/>
          <w:sz w:val="22"/>
          <w:szCs w:val="22"/>
        </w:rPr>
        <w:t xml:space="preserve"> ανεξαρτησία δεν σημαίνει απουσία λογοδοσίας και ελέγχου. Η </w:t>
      </w:r>
      <w:r w:rsidR="00656544" w:rsidRPr="00760CEE">
        <w:rPr>
          <w:rFonts w:asciiTheme="minorHAnsi" w:hAnsiTheme="minorHAnsi"/>
          <w:color w:val="333333"/>
          <w:sz w:val="22"/>
          <w:szCs w:val="22"/>
        </w:rPr>
        <w:t>Τράπεζα της Ελλάδος</w:t>
      </w:r>
      <w:r w:rsidR="00275FBB" w:rsidRPr="00760CEE">
        <w:rPr>
          <w:rFonts w:asciiTheme="minorHAnsi" w:hAnsiTheme="minorHAnsi"/>
          <w:color w:val="333333"/>
          <w:sz w:val="22"/>
          <w:szCs w:val="22"/>
        </w:rPr>
        <w:t xml:space="preserve"> εξηγ</w:t>
      </w:r>
      <w:r w:rsidRPr="00760CEE">
        <w:rPr>
          <w:rFonts w:asciiTheme="minorHAnsi" w:hAnsiTheme="minorHAnsi"/>
          <w:color w:val="333333"/>
          <w:sz w:val="22"/>
          <w:szCs w:val="22"/>
        </w:rPr>
        <w:t>εί</w:t>
      </w:r>
      <w:r w:rsidR="00275FBB" w:rsidRPr="00760CEE">
        <w:rPr>
          <w:rFonts w:asciiTheme="minorHAnsi" w:hAnsiTheme="minorHAnsi"/>
          <w:color w:val="333333"/>
          <w:sz w:val="22"/>
          <w:szCs w:val="22"/>
        </w:rPr>
        <w:t xml:space="preserve"> και αιτιολογ</w:t>
      </w:r>
      <w:r w:rsidRPr="00760CEE">
        <w:rPr>
          <w:rFonts w:asciiTheme="minorHAnsi" w:hAnsiTheme="minorHAnsi"/>
          <w:color w:val="333333"/>
          <w:sz w:val="22"/>
          <w:szCs w:val="22"/>
        </w:rPr>
        <w:t>εί</w:t>
      </w:r>
      <w:r w:rsidR="00275FBB" w:rsidRPr="00760CEE">
        <w:rPr>
          <w:rFonts w:asciiTheme="minorHAnsi" w:hAnsiTheme="minorHAnsi"/>
          <w:color w:val="333333"/>
          <w:sz w:val="22"/>
          <w:szCs w:val="22"/>
        </w:rPr>
        <w:t xml:space="preserve"> τις αποφάσεις τους, τόσο προς τα θεσμικά όργανα όσο και προς το ευρύ κοινό.</w:t>
      </w:r>
      <w:r w:rsidR="0024543E" w:rsidRPr="00760CEE">
        <w:rPr>
          <w:rFonts w:asciiTheme="minorHAnsi" w:hAnsiTheme="minorHAnsi"/>
          <w:sz w:val="22"/>
          <w:szCs w:val="22"/>
        </w:rPr>
        <w:t xml:space="preserve"> </w:t>
      </w:r>
      <w:r w:rsidR="00275FBB" w:rsidRPr="00760CEE">
        <w:rPr>
          <w:rFonts w:asciiTheme="minorHAnsi" w:hAnsiTheme="minorHAnsi"/>
          <w:sz w:val="22"/>
          <w:szCs w:val="22"/>
        </w:rPr>
        <w:t xml:space="preserve">Έτσι ενισχύεται η </w:t>
      </w:r>
      <w:r w:rsidR="0024543E" w:rsidRPr="00760CEE">
        <w:rPr>
          <w:rFonts w:asciiTheme="minorHAnsi" w:hAnsiTheme="minorHAnsi"/>
          <w:color w:val="333333"/>
          <w:sz w:val="22"/>
          <w:szCs w:val="22"/>
        </w:rPr>
        <w:t>διαφάνεια, διασφαλίζοντας ότι η ανεξαρτησία της Τράπεζας της Ελλάδος συνοδεύεται από ευθύνη και δημόσιο έλεγχο.</w:t>
      </w:r>
    </w:p>
    <w:p w14:paraId="33EB471D" w14:textId="7B3E8784" w:rsidR="009021C7" w:rsidRPr="00760CEE" w:rsidRDefault="009021C7" w:rsidP="00A50097">
      <w:pPr>
        <w:spacing w:before="80"/>
        <w:jc w:val="both"/>
        <w:rPr>
          <w:rFonts w:asciiTheme="minorHAnsi" w:hAnsiTheme="minorHAnsi"/>
          <w:color w:val="333333"/>
          <w:sz w:val="22"/>
          <w:szCs w:val="22"/>
        </w:rPr>
      </w:pPr>
    </w:p>
    <w:tbl>
      <w:tblPr>
        <w:tblW w:w="9026"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21"/>
        <w:gridCol w:w="4705"/>
      </w:tblGrid>
      <w:tr w:rsidR="00086A0E" w:rsidRPr="005C1969" w14:paraId="2548974A" w14:textId="77777777" w:rsidTr="0077464B">
        <w:tc>
          <w:tcPr>
            <w:tcW w:w="4321" w:type="dxa"/>
            <w:tcBorders>
              <w:top w:val="single" w:sz="1" w:space="0" w:color="C5D4EC"/>
              <w:left w:val="single" w:sz="1" w:space="0" w:color="C5D4EC"/>
              <w:bottom w:val="single" w:sz="1" w:space="0" w:color="C5D4EC"/>
              <w:right w:val="single" w:sz="1" w:space="0" w:color="C5D4EC"/>
            </w:tcBorders>
            <w:shd w:val="clear" w:color="auto" w:fill="E8EEF7"/>
            <w:tcMar>
              <w:top w:w="140" w:type="dxa"/>
              <w:left w:w="200" w:type="dxa"/>
              <w:bottom w:w="120" w:type="dxa"/>
              <w:right w:w="160" w:type="dxa"/>
            </w:tcMar>
          </w:tcPr>
          <w:p w14:paraId="79CCC1D0" w14:textId="482E789C" w:rsidR="00086A0E" w:rsidRPr="00FD228B" w:rsidRDefault="00203F89" w:rsidP="00203F89">
            <w:pPr>
              <w:spacing w:before="120" w:after="60"/>
              <w:rPr>
                <w:rFonts w:asciiTheme="majorHAnsi" w:hAnsiTheme="majorHAnsi"/>
                <w:sz w:val="22"/>
                <w:szCs w:val="22"/>
              </w:rPr>
            </w:pPr>
            <w:r>
              <w:rPr>
                <w:rFonts w:asciiTheme="majorHAnsi" w:hAnsiTheme="majorHAnsi"/>
                <w:noProof/>
                <w:sz w:val="22"/>
                <w:szCs w:val="22"/>
              </w:rPr>
              <w:drawing>
                <wp:anchor distT="0" distB="0" distL="114300" distR="114300" simplePos="0" relativeHeight="251659267" behindDoc="1" locked="0" layoutInCell="1" allowOverlap="1" wp14:anchorId="7F23D826" wp14:editId="4F94FAE5">
                  <wp:simplePos x="0" y="0"/>
                  <wp:positionH relativeFrom="column">
                    <wp:posOffset>-30092</wp:posOffset>
                  </wp:positionH>
                  <wp:positionV relativeFrom="paragraph">
                    <wp:posOffset>330</wp:posOffset>
                  </wp:positionV>
                  <wp:extent cx="296231" cy="296231"/>
                  <wp:effectExtent l="0" t="0" r="8890" b="8890"/>
                  <wp:wrapTight wrapText="bothSides">
                    <wp:wrapPolygon edited="0">
                      <wp:start x="5562" y="0"/>
                      <wp:lineTo x="1391" y="6953"/>
                      <wp:lineTo x="0" y="20858"/>
                      <wp:lineTo x="20858" y="20858"/>
                      <wp:lineTo x="19468" y="6953"/>
                      <wp:lineTo x="15296" y="0"/>
                      <wp:lineTo x="5562" y="0"/>
                    </wp:wrapPolygon>
                  </wp:wrapTight>
                  <wp:docPr id="368813141" name="Graphic 1" descr="Ba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13141" name="Graphic 368813141" descr="Bank outline"/>
                          <pic:cNvPicPr/>
                        </pic:nvPicPr>
                        <pic:blipFill>
                          <a:blip r:embed="rId16">
                            <a:extLst>
                              <a:ext uri="{96DAC541-7B7A-43D3-8B79-37D633B846F1}">
                                <asvg:svgBlip xmlns:asvg="http://schemas.microsoft.com/office/drawing/2016/SVG/main" r:embed="rId17"/>
                              </a:ext>
                            </a:extLst>
                          </a:blip>
                          <a:stretch>
                            <a:fillRect/>
                          </a:stretch>
                        </pic:blipFill>
                        <pic:spPr>
                          <a:xfrm>
                            <a:off x="0" y="0"/>
                            <a:ext cx="297604" cy="297604"/>
                          </a:xfrm>
                          <a:prstGeom prst="rect">
                            <a:avLst/>
                          </a:prstGeom>
                        </pic:spPr>
                      </pic:pic>
                    </a:graphicData>
                  </a:graphic>
                  <wp14:sizeRelH relativeFrom="margin">
                    <wp14:pctWidth>0</wp14:pctWidth>
                  </wp14:sizeRelH>
                  <wp14:sizeRelV relativeFrom="margin">
                    <wp14:pctHeight>0</wp14:pctHeight>
                  </wp14:sizeRelV>
                </wp:anchor>
              </w:drawing>
            </w:r>
            <w:r w:rsidR="00086A0E" w:rsidRPr="00FD228B">
              <w:rPr>
                <w:rFonts w:asciiTheme="majorHAnsi" w:hAnsiTheme="majorHAnsi"/>
                <w:b/>
                <w:color w:val="003087"/>
                <w:sz w:val="22"/>
                <w:szCs w:val="22"/>
              </w:rPr>
              <w:t>Ανεξαρτησία</w:t>
            </w:r>
          </w:p>
          <w:p w14:paraId="7A3F777D" w14:textId="77777777" w:rsidR="00203F89" w:rsidRPr="00FF3517" w:rsidRDefault="00203F89" w:rsidP="0077464B">
            <w:pPr>
              <w:spacing w:before="60" w:after="80"/>
              <w:jc w:val="both"/>
              <w:rPr>
                <w:rFonts w:asciiTheme="majorHAnsi" w:hAnsiTheme="majorHAnsi"/>
                <w:sz w:val="22"/>
                <w:szCs w:val="22"/>
              </w:rPr>
            </w:pPr>
          </w:p>
          <w:p w14:paraId="3F344C36" w14:textId="2169FDEF" w:rsidR="00086A0E" w:rsidRPr="00FD228B" w:rsidRDefault="00086A0E" w:rsidP="0077464B">
            <w:pPr>
              <w:spacing w:before="60" w:after="80"/>
              <w:jc w:val="both"/>
              <w:rPr>
                <w:rFonts w:asciiTheme="majorHAnsi" w:hAnsiTheme="majorHAnsi"/>
                <w:sz w:val="22"/>
                <w:szCs w:val="22"/>
              </w:rPr>
            </w:pPr>
            <w:r w:rsidRPr="00FD228B">
              <w:rPr>
                <w:rFonts w:asciiTheme="majorHAnsi" w:hAnsiTheme="majorHAnsi"/>
                <w:sz w:val="22"/>
                <w:szCs w:val="22"/>
              </w:rPr>
              <w:t>Η Τράπεζα της Ελλάδος είναι ανεξάρτητη. Σύμφωνα με τη Συνθήκη της Ευρωπαϊκής Ένωσης και το Καταστατικό της, η Τράπεζα της Ελλάδος δεν ζητά ούτε δέχεται υποδείξεις κατά την εκτέλεση των καθηκόντων της.</w:t>
            </w:r>
          </w:p>
          <w:p w14:paraId="545C9300" w14:textId="018C37CF" w:rsidR="00086A0E" w:rsidRPr="00FD228B" w:rsidRDefault="00086A0E" w:rsidP="0077464B">
            <w:pPr>
              <w:spacing w:before="60" w:after="80"/>
              <w:jc w:val="both"/>
              <w:rPr>
                <w:rFonts w:asciiTheme="majorHAnsi" w:hAnsiTheme="majorHAnsi"/>
                <w:sz w:val="22"/>
                <w:szCs w:val="22"/>
              </w:rPr>
            </w:pPr>
            <w:r w:rsidRPr="00FD228B">
              <w:rPr>
                <w:rFonts w:asciiTheme="majorHAnsi" w:hAnsiTheme="majorHAnsi"/>
                <w:sz w:val="22"/>
                <w:szCs w:val="22"/>
              </w:rPr>
              <w:t>Η ανεξαρτησία αυτή επιτρέπει στη νομισματική πολιτική να ασκείται με συνέπεια και με κύριο γνώμονα τη σταθερότητα των τιμών</w:t>
            </w:r>
            <w:r w:rsidRPr="00760CEE">
              <w:rPr>
                <w:rFonts w:asciiTheme="majorHAnsi" w:hAnsiTheme="majorHAnsi"/>
                <w:sz w:val="22"/>
                <w:szCs w:val="22"/>
              </w:rPr>
              <w:t>, ενισχύοντας την αξιοπιστία και την αποτελεσματικότητά της</w:t>
            </w:r>
            <w:r w:rsidRPr="00FD228B">
              <w:rPr>
                <w:rFonts w:asciiTheme="majorHAnsi" w:hAnsiTheme="majorHAnsi"/>
                <w:sz w:val="22"/>
                <w:szCs w:val="22"/>
              </w:rPr>
              <w:t>.</w:t>
            </w:r>
          </w:p>
        </w:tc>
        <w:tc>
          <w:tcPr>
            <w:tcW w:w="4705" w:type="dxa"/>
            <w:tcBorders>
              <w:top w:val="single" w:sz="1" w:space="0" w:color="C5D4EC"/>
              <w:left w:val="single" w:sz="1" w:space="0" w:color="C5D4EC"/>
              <w:bottom w:val="single" w:sz="1" w:space="0" w:color="C5D4EC"/>
              <w:right w:val="single" w:sz="1" w:space="0" w:color="C5D4EC"/>
            </w:tcBorders>
            <w:shd w:val="clear" w:color="auto" w:fill="EEF4FF"/>
            <w:tcMar>
              <w:top w:w="140" w:type="dxa"/>
              <w:left w:w="160" w:type="dxa"/>
              <w:bottom w:w="120" w:type="dxa"/>
              <w:right w:w="200" w:type="dxa"/>
            </w:tcMar>
          </w:tcPr>
          <w:p w14:paraId="7E80499A" w14:textId="13C068E8" w:rsidR="00086A0E" w:rsidRPr="00FD228B" w:rsidRDefault="00203F89" w:rsidP="00203F89">
            <w:pPr>
              <w:spacing w:before="120" w:after="60"/>
              <w:rPr>
                <w:rFonts w:asciiTheme="majorHAnsi" w:hAnsiTheme="majorHAnsi"/>
                <w:sz w:val="22"/>
                <w:szCs w:val="22"/>
              </w:rPr>
            </w:pPr>
            <w:r>
              <w:rPr>
                <w:rFonts w:asciiTheme="majorHAnsi" w:hAnsiTheme="majorHAnsi"/>
                <w:b/>
                <w:noProof/>
                <w:color w:val="003087"/>
                <w:sz w:val="22"/>
                <w:szCs w:val="22"/>
              </w:rPr>
              <w:drawing>
                <wp:anchor distT="0" distB="0" distL="114300" distR="114300" simplePos="0" relativeHeight="251660291" behindDoc="1" locked="0" layoutInCell="1" allowOverlap="1" wp14:anchorId="57855316" wp14:editId="2BDE2A21">
                  <wp:simplePos x="0" y="0"/>
                  <wp:positionH relativeFrom="column">
                    <wp:posOffset>610</wp:posOffset>
                  </wp:positionH>
                  <wp:positionV relativeFrom="paragraph">
                    <wp:posOffset>429</wp:posOffset>
                  </wp:positionV>
                  <wp:extent cx="356259" cy="356259"/>
                  <wp:effectExtent l="0" t="0" r="0" b="5715"/>
                  <wp:wrapTight wrapText="bothSides">
                    <wp:wrapPolygon edited="0">
                      <wp:start x="1155" y="0"/>
                      <wp:lineTo x="1155" y="20791"/>
                      <wp:lineTo x="19636" y="20791"/>
                      <wp:lineTo x="19636" y="0"/>
                      <wp:lineTo x="1155" y="0"/>
                    </wp:wrapPolygon>
                  </wp:wrapTight>
                  <wp:docPr id="105170936" name="Graphic 2"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70936" name="Graphic 105170936" descr="Checklist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356259" cy="356259"/>
                          </a:xfrm>
                          <a:prstGeom prst="rect">
                            <a:avLst/>
                          </a:prstGeom>
                        </pic:spPr>
                      </pic:pic>
                    </a:graphicData>
                  </a:graphic>
                </wp:anchor>
              </w:drawing>
            </w:r>
            <w:r w:rsidR="00086A0E" w:rsidRPr="00FD228B">
              <w:rPr>
                <w:rFonts w:asciiTheme="majorHAnsi" w:hAnsiTheme="majorHAnsi"/>
                <w:b/>
                <w:color w:val="003087"/>
                <w:sz w:val="22"/>
                <w:szCs w:val="22"/>
              </w:rPr>
              <w:t>Λογοδοσία</w:t>
            </w:r>
          </w:p>
          <w:p w14:paraId="4F1164AA" w14:textId="77777777" w:rsidR="00203F89" w:rsidRPr="00FF3517" w:rsidRDefault="00203F89" w:rsidP="0077464B">
            <w:pPr>
              <w:spacing w:before="60" w:after="80"/>
              <w:jc w:val="both"/>
              <w:rPr>
                <w:rFonts w:asciiTheme="majorHAnsi" w:hAnsiTheme="majorHAnsi"/>
                <w:color w:val="333333"/>
                <w:sz w:val="22"/>
                <w:szCs w:val="22"/>
              </w:rPr>
            </w:pPr>
          </w:p>
          <w:p w14:paraId="1A949AA6" w14:textId="39320488" w:rsidR="00086A0E" w:rsidRPr="00FD228B" w:rsidRDefault="00086A0E" w:rsidP="0077464B">
            <w:pPr>
              <w:spacing w:before="60" w:after="80"/>
              <w:jc w:val="both"/>
              <w:rPr>
                <w:rFonts w:asciiTheme="majorHAnsi" w:hAnsiTheme="majorHAnsi"/>
                <w:color w:val="333333"/>
                <w:sz w:val="22"/>
                <w:szCs w:val="22"/>
              </w:rPr>
            </w:pPr>
            <w:r w:rsidRPr="00FD228B">
              <w:rPr>
                <w:rFonts w:asciiTheme="majorHAnsi" w:hAnsiTheme="majorHAnsi"/>
                <w:color w:val="333333"/>
                <w:sz w:val="22"/>
                <w:szCs w:val="22"/>
              </w:rPr>
              <w:t>Η Τράπεζα της Ελλάδος λογοδοτεί στους Έλληνες πολίτες μέσω της Βουλή</w:t>
            </w:r>
            <w:r w:rsidR="008F0582">
              <w:rPr>
                <w:rFonts w:asciiTheme="majorHAnsi" w:hAnsiTheme="majorHAnsi"/>
                <w:color w:val="333333"/>
                <w:sz w:val="22"/>
                <w:szCs w:val="22"/>
              </w:rPr>
              <w:t>ς</w:t>
            </w:r>
            <w:r w:rsidRPr="00FD228B">
              <w:rPr>
                <w:rFonts w:asciiTheme="majorHAnsi" w:hAnsiTheme="majorHAnsi"/>
                <w:color w:val="333333"/>
                <w:sz w:val="22"/>
                <w:szCs w:val="22"/>
              </w:rPr>
              <w:t xml:space="preserve"> των Ελλήνων</w:t>
            </w:r>
            <w:r w:rsidR="008F0582">
              <w:rPr>
                <w:rFonts w:asciiTheme="majorHAnsi" w:hAnsiTheme="majorHAnsi"/>
                <w:color w:val="333333"/>
                <w:sz w:val="22"/>
                <w:szCs w:val="22"/>
              </w:rPr>
              <w:t>, αλλά και μέσω των δημοσιεύσεών της για την νομισματική πολιτική, τις εξελίξεις και προοπτικές της</w:t>
            </w:r>
            <w:r w:rsidR="008F0582" w:rsidRPr="00FD228B">
              <w:rPr>
                <w:rFonts w:asciiTheme="majorHAnsi" w:hAnsiTheme="majorHAnsi"/>
                <w:color w:val="333333"/>
                <w:sz w:val="22"/>
                <w:szCs w:val="22"/>
              </w:rPr>
              <w:t xml:space="preserve"> ελληνική</w:t>
            </w:r>
            <w:r w:rsidR="008F0582">
              <w:rPr>
                <w:rFonts w:asciiTheme="majorHAnsi" w:hAnsiTheme="majorHAnsi"/>
                <w:color w:val="333333"/>
                <w:sz w:val="22"/>
                <w:szCs w:val="22"/>
              </w:rPr>
              <w:t>ς</w:t>
            </w:r>
            <w:r w:rsidR="008F0582" w:rsidRPr="00FD228B">
              <w:rPr>
                <w:rFonts w:asciiTheme="majorHAnsi" w:hAnsiTheme="majorHAnsi"/>
                <w:color w:val="333333"/>
                <w:sz w:val="22"/>
                <w:szCs w:val="22"/>
              </w:rPr>
              <w:t xml:space="preserve"> οικονομία</w:t>
            </w:r>
            <w:r w:rsidR="008F0582">
              <w:rPr>
                <w:rFonts w:asciiTheme="majorHAnsi" w:hAnsiTheme="majorHAnsi"/>
                <w:color w:val="333333"/>
                <w:sz w:val="22"/>
                <w:szCs w:val="22"/>
              </w:rPr>
              <w:t>ς</w:t>
            </w:r>
            <w:r w:rsidR="008F0582" w:rsidRPr="00FD228B">
              <w:rPr>
                <w:rFonts w:asciiTheme="majorHAnsi" w:hAnsiTheme="majorHAnsi"/>
                <w:color w:val="333333"/>
                <w:sz w:val="22"/>
                <w:szCs w:val="22"/>
              </w:rPr>
              <w:t xml:space="preserve"> και το χρηματοπιστωτικό σύστημα</w:t>
            </w:r>
            <w:r w:rsidR="000F1352">
              <w:rPr>
                <w:rFonts w:asciiTheme="majorHAnsi" w:hAnsiTheme="majorHAnsi"/>
                <w:color w:val="333333"/>
                <w:sz w:val="22"/>
                <w:szCs w:val="22"/>
              </w:rPr>
              <w:t>.</w:t>
            </w:r>
            <w:r w:rsidR="008F0582">
              <w:rPr>
                <w:rFonts w:asciiTheme="majorHAnsi" w:hAnsiTheme="majorHAnsi"/>
                <w:color w:val="333333"/>
                <w:sz w:val="22"/>
                <w:szCs w:val="22"/>
              </w:rPr>
              <w:t xml:space="preserve"> </w:t>
            </w:r>
            <w:r w:rsidRPr="00FD228B">
              <w:rPr>
                <w:rFonts w:asciiTheme="majorHAnsi" w:hAnsiTheme="majorHAnsi"/>
                <w:color w:val="333333"/>
                <w:sz w:val="22"/>
                <w:szCs w:val="22"/>
              </w:rPr>
              <w:t xml:space="preserve"> </w:t>
            </w:r>
          </w:p>
          <w:p w14:paraId="086EFF66" w14:textId="55144346" w:rsidR="00086A0E" w:rsidRPr="00FD228B" w:rsidRDefault="00D0557B" w:rsidP="0077464B">
            <w:pPr>
              <w:spacing w:before="60" w:after="80"/>
              <w:jc w:val="both"/>
              <w:rPr>
                <w:rFonts w:asciiTheme="majorHAnsi" w:hAnsiTheme="majorHAnsi"/>
                <w:color w:val="333333"/>
                <w:sz w:val="22"/>
                <w:szCs w:val="22"/>
              </w:rPr>
            </w:pPr>
            <w:r w:rsidRPr="00D0557B">
              <w:rPr>
                <w:rFonts w:asciiTheme="majorHAnsi" w:hAnsiTheme="majorHAnsi"/>
                <w:color w:val="333333"/>
                <w:sz w:val="22"/>
                <w:szCs w:val="22"/>
              </w:rPr>
              <w:t>Στο πλαίσιο αυτό,</w:t>
            </w:r>
            <w:r>
              <w:rPr>
                <w:rFonts w:asciiTheme="majorHAnsi" w:hAnsiTheme="majorHAnsi"/>
                <w:color w:val="333333"/>
                <w:sz w:val="22"/>
                <w:szCs w:val="22"/>
              </w:rPr>
              <w:t xml:space="preserve"> υ</w:t>
            </w:r>
            <w:r w:rsidR="00CE0E04">
              <w:rPr>
                <w:rFonts w:asciiTheme="majorHAnsi" w:hAnsiTheme="majorHAnsi"/>
                <w:color w:val="333333"/>
                <w:sz w:val="22"/>
                <w:szCs w:val="22"/>
              </w:rPr>
              <w:t xml:space="preserve">ποβάλλει Εκθέσεις για τη </w:t>
            </w:r>
            <w:r w:rsidR="00CE0E04" w:rsidRPr="00CE0E04">
              <w:rPr>
                <w:rFonts w:asciiTheme="majorHAnsi" w:hAnsiTheme="majorHAnsi"/>
                <w:color w:val="333333"/>
                <w:sz w:val="22"/>
                <w:szCs w:val="22"/>
              </w:rPr>
              <w:t>Νομισματική Πολιτική</w:t>
            </w:r>
            <w:r w:rsidR="00EE1C37">
              <w:rPr>
                <w:rFonts w:asciiTheme="majorHAnsi" w:hAnsiTheme="majorHAnsi"/>
                <w:color w:val="333333"/>
                <w:sz w:val="22"/>
                <w:szCs w:val="22"/>
              </w:rPr>
              <w:t xml:space="preserve"> και τις εποπτικές της αρμοδιότητες</w:t>
            </w:r>
            <w:r w:rsidR="00451EF9">
              <w:rPr>
                <w:rFonts w:asciiTheme="majorHAnsi" w:hAnsiTheme="majorHAnsi"/>
                <w:color w:val="333333"/>
                <w:sz w:val="22"/>
                <w:szCs w:val="22"/>
              </w:rPr>
              <w:t xml:space="preserve">, </w:t>
            </w:r>
            <w:r w:rsidR="004D232A">
              <w:rPr>
                <w:rFonts w:asciiTheme="majorHAnsi" w:hAnsiTheme="majorHAnsi"/>
                <w:color w:val="333333"/>
                <w:sz w:val="22"/>
                <w:szCs w:val="22"/>
              </w:rPr>
              <w:t xml:space="preserve">εκδίδει </w:t>
            </w:r>
            <w:r w:rsidR="00451EF9">
              <w:rPr>
                <w:rFonts w:asciiTheme="majorHAnsi" w:hAnsiTheme="majorHAnsi"/>
                <w:color w:val="333333"/>
                <w:sz w:val="22"/>
                <w:szCs w:val="22"/>
              </w:rPr>
              <w:t xml:space="preserve">την Έκθεση </w:t>
            </w:r>
            <w:r>
              <w:rPr>
                <w:rFonts w:asciiTheme="majorHAnsi" w:hAnsiTheme="majorHAnsi"/>
                <w:color w:val="333333"/>
                <w:sz w:val="22"/>
                <w:szCs w:val="22"/>
              </w:rPr>
              <w:t xml:space="preserve">του </w:t>
            </w:r>
            <w:r w:rsidR="00086A0E" w:rsidRPr="00760CEE">
              <w:rPr>
                <w:rFonts w:asciiTheme="majorHAnsi" w:hAnsiTheme="majorHAnsi"/>
                <w:color w:val="333333"/>
                <w:sz w:val="22"/>
                <w:szCs w:val="22"/>
              </w:rPr>
              <w:t>Διοικητή</w:t>
            </w:r>
            <w:r w:rsidR="008A4A18">
              <w:rPr>
                <w:rFonts w:asciiTheme="majorHAnsi" w:hAnsiTheme="majorHAnsi"/>
                <w:color w:val="333333"/>
                <w:sz w:val="22"/>
                <w:szCs w:val="22"/>
              </w:rPr>
              <w:t xml:space="preserve"> και </w:t>
            </w:r>
            <w:r>
              <w:rPr>
                <w:rFonts w:asciiTheme="majorHAnsi" w:hAnsiTheme="majorHAnsi"/>
                <w:color w:val="333333"/>
                <w:sz w:val="22"/>
                <w:szCs w:val="22"/>
              </w:rPr>
              <w:t xml:space="preserve">την </w:t>
            </w:r>
            <w:r w:rsidR="000E564D">
              <w:rPr>
                <w:rFonts w:asciiTheme="majorHAnsi" w:hAnsiTheme="majorHAnsi"/>
                <w:color w:val="333333"/>
                <w:sz w:val="22"/>
                <w:szCs w:val="22"/>
              </w:rPr>
              <w:t>Έκθεση για τη Χ</w:t>
            </w:r>
            <w:r w:rsidR="00086A0E" w:rsidRPr="00760CEE">
              <w:rPr>
                <w:rFonts w:asciiTheme="majorHAnsi" w:hAnsiTheme="majorHAnsi"/>
                <w:color w:val="333333"/>
                <w:sz w:val="22"/>
                <w:szCs w:val="22"/>
              </w:rPr>
              <w:t xml:space="preserve">ρηματοπιστωτική </w:t>
            </w:r>
            <w:r w:rsidR="000E564D">
              <w:rPr>
                <w:rFonts w:asciiTheme="majorHAnsi" w:hAnsiTheme="majorHAnsi"/>
                <w:color w:val="333333"/>
                <w:sz w:val="22"/>
                <w:szCs w:val="22"/>
              </w:rPr>
              <w:t>Σ</w:t>
            </w:r>
            <w:r w:rsidR="00086A0E" w:rsidRPr="00760CEE">
              <w:rPr>
                <w:rFonts w:asciiTheme="majorHAnsi" w:hAnsiTheme="majorHAnsi"/>
                <w:color w:val="333333"/>
                <w:sz w:val="22"/>
                <w:szCs w:val="22"/>
              </w:rPr>
              <w:t>ταθερότητα</w:t>
            </w:r>
            <w:r w:rsidR="000E564D">
              <w:rPr>
                <w:rFonts w:asciiTheme="majorHAnsi" w:hAnsiTheme="majorHAnsi"/>
                <w:color w:val="333333"/>
                <w:sz w:val="22"/>
                <w:szCs w:val="22"/>
              </w:rPr>
              <w:t xml:space="preserve">, </w:t>
            </w:r>
            <w:r w:rsidR="008A4A18">
              <w:rPr>
                <w:rFonts w:asciiTheme="majorHAnsi" w:hAnsiTheme="majorHAnsi"/>
                <w:color w:val="333333"/>
                <w:sz w:val="22"/>
                <w:szCs w:val="22"/>
              </w:rPr>
              <w:t xml:space="preserve">ενώ παράλληλα </w:t>
            </w:r>
            <w:r w:rsidR="004D232A">
              <w:rPr>
                <w:rFonts w:asciiTheme="majorHAnsi" w:hAnsiTheme="majorHAnsi"/>
                <w:color w:val="333333"/>
                <w:sz w:val="22"/>
                <w:szCs w:val="22"/>
              </w:rPr>
              <w:t xml:space="preserve">δημοσιεύει </w:t>
            </w:r>
            <w:r w:rsidR="00777936">
              <w:rPr>
                <w:rFonts w:asciiTheme="majorHAnsi" w:hAnsiTheme="majorHAnsi"/>
                <w:color w:val="333333"/>
                <w:sz w:val="22"/>
                <w:szCs w:val="22"/>
              </w:rPr>
              <w:t>αναλύσεις</w:t>
            </w:r>
            <w:r w:rsidR="008E33DF">
              <w:rPr>
                <w:rFonts w:asciiTheme="majorHAnsi" w:hAnsiTheme="majorHAnsi"/>
                <w:color w:val="333333"/>
                <w:sz w:val="22"/>
                <w:szCs w:val="22"/>
              </w:rPr>
              <w:t xml:space="preserve"> για την ελληνική οικονομία</w:t>
            </w:r>
            <w:r w:rsidR="000E564D" w:rsidRPr="00FD228B">
              <w:rPr>
                <w:rFonts w:asciiTheme="majorHAnsi" w:hAnsiTheme="majorHAnsi"/>
                <w:color w:val="333333"/>
                <w:sz w:val="22"/>
                <w:szCs w:val="22"/>
              </w:rPr>
              <w:t xml:space="preserve">, </w:t>
            </w:r>
            <w:r w:rsidR="008E33DF">
              <w:rPr>
                <w:rFonts w:asciiTheme="majorHAnsi" w:hAnsiTheme="majorHAnsi"/>
                <w:color w:val="333333"/>
                <w:sz w:val="22"/>
                <w:szCs w:val="22"/>
              </w:rPr>
              <w:t xml:space="preserve">ερευνητικές </w:t>
            </w:r>
            <w:r w:rsidR="000E564D" w:rsidRPr="00FD228B">
              <w:rPr>
                <w:rFonts w:asciiTheme="majorHAnsi" w:hAnsiTheme="majorHAnsi"/>
                <w:color w:val="333333"/>
                <w:sz w:val="22"/>
                <w:szCs w:val="22"/>
              </w:rPr>
              <w:t>μελέτες και στατιστικά στοιχεία</w:t>
            </w:r>
            <w:r w:rsidR="00086A0E" w:rsidRPr="00760CEE">
              <w:rPr>
                <w:rFonts w:asciiTheme="majorHAnsi" w:hAnsiTheme="majorHAnsi"/>
                <w:color w:val="333333"/>
                <w:sz w:val="22"/>
                <w:szCs w:val="22"/>
              </w:rPr>
              <w:t xml:space="preserve">. </w:t>
            </w:r>
          </w:p>
        </w:tc>
      </w:tr>
    </w:tbl>
    <w:p w14:paraId="7D714413" w14:textId="77777777" w:rsidR="00251AC7" w:rsidRDefault="00251AC7">
      <w:pPr>
        <w:spacing w:before="80"/>
        <w:rPr>
          <w:rFonts w:asciiTheme="minorHAnsi" w:hAnsiTheme="minorHAnsi"/>
        </w:rPr>
      </w:pPr>
    </w:p>
    <w:p w14:paraId="4E7CF44C" w14:textId="77777777" w:rsidR="00086A0E" w:rsidRPr="0061075B" w:rsidRDefault="00086A0E" w:rsidP="00086A0E">
      <w:pPr>
        <w:pBdr>
          <w:bottom w:val="single" w:sz="4" w:space="1" w:color="C5D4EC"/>
        </w:pBdr>
        <w:spacing w:before="160" w:after="160"/>
        <w:rPr>
          <w:rFonts w:asciiTheme="minorHAnsi" w:hAnsiTheme="minorHAnsi"/>
          <w:sz w:val="4"/>
          <w:szCs w:val="4"/>
        </w:rPr>
      </w:pPr>
    </w:p>
    <w:p w14:paraId="60699B70" w14:textId="77777777" w:rsidR="00086A0E" w:rsidRPr="006D194C" w:rsidRDefault="00086A0E">
      <w:pPr>
        <w:spacing w:before="80"/>
        <w:rPr>
          <w:rFonts w:asciiTheme="minorHAnsi" w:hAnsiTheme="minorHAnsi"/>
        </w:rPr>
      </w:pPr>
    </w:p>
    <w:p w14:paraId="3CA8B109" w14:textId="77777777" w:rsidR="00086A0E" w:rsidRDefault="00760CEE" w:rsidP="00086A0E">
      <w:pPr>
        <w:pBdr>
          <w:bottom w:val="single" w:sz="4" w:space="1" w:color="C5D4EC"/>
        </w:pBdr>
        <w:spacing w:before="160" w:after="160"/>
        <w:rPr>
          <w:rFonts w:asciiTheme="minorHAnsi" w:hAnsiTheme="minorHAnsi"/>
        </w:rPr>
      </w:pPr>
      <w:r>
        <w:rPr>
          <w:rFonts w:asciiTheme="minorHAnsi" w:hAnsiTheme="minorHAnsi"/>
        </w:rPr>
        <w:br w:type="page"/>
      </w:r>
    </w:p>
    <w:tbl>
      <w:tblPr>
        <w:tblStyle w:val="TableGrid"/>
        <w:tblW w:w="1004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45"/>
      </w:tblGrid>
      <w:tr w:rsidR="00DB0662" w:rsidRPr="0042331C" w14:paraId="02EBC057" w14:textId="77777777" w:rsidTr="00870FD7">
        <w:tc>
          <w:tcPr>
            <w:tcW w:w="10045" w:type="dxa"/>
          </w:tcPr>
          <w:p w14:paraId="67BA7F2E" w14:textId="77777777" w:rsidR="006809FE" w:rsidRDefault="00DB0662" w:rsidP="00BC3591">
            <w:pPr>
              <w:spacing w:after="30"/>
              <w:jc w:val="center"/>
              <w:rPr>
                <w:rFonts w:eastAsia="Arial" w:cs="Arial"/>
                <w:kern w:val="0"/>
                <w:sz w:val="24"/>
                <w:szCs w:val="24"/>
                <w:lang w:val="el-GR" w:eastAsia="el-GR"/>
                <w14:ligatures w14:val="none"/>
              </w:rPr>
            </w:pPr>
            <w:r w:rsidRPr="00BA3383">
              <w:rPr>
                <w:rFonts w:eastAsia="Arial" w:cs="Arial"/>
                <w:kern w:val="0"/>
                <w:sz w:val="24"/>
                <w:szCs w:val="24"/>
                <w:lang w:val="el-GR" w:eastAsia="el-GR"/>
                <w14:ligatures w14:val="none"/>
              </w:rPr>
              <w:lastRenderedPageBreak/>
              <w:br w:type="page"/>
            </w:r>
          </w:p>
          <w:p w14:paraId="76EAE7A7" w14:textId="1BDC266A" w:rsidR="00DB0662" w:rsidRPr="00BA3383" w:rsidRDefault="00DB0662" w:rsidP="00BC3591">
            <w:pPr>
              <w:spacing w:after="30"/>
              <w:jc w:val="center"/>
              <w:rPr>
                <w:rFonts w:eastAsia="Arial" w:cs="Arial"/>
                <w:b/>
                <w:bCs/>
                <w:color w:val="164E97"/>
                <w:sz w:val="28"/>
                <w:szCs w:val="28"/>
                <w:lang w:val="el-GR"/>
              </w:rPr>
            </w:pPr>
            <w:r w:rsidRPr="00BA3383">
              <w:rPr>
                <w:rFonts w:eastAsia="Arial" w:cs="Arial"/>
                <w:b/>
                <w:bCs/>
                <w:color w:val="164E97"/>
                <w:sz w:val="28"/>
                <w:szCs w:val="28"/>
                <w:lang w:val="el-GR"/>
              </w:rPr>
              <w:t>Η Τράπεζα της Ελλάδος</w:t>
            </w:r>
          </w:p>
          <w:p w14:paraId="2D977409" w14:textId="77777777" w:rsidR="00DB0662" w:rsidRPr="00BA3383" w:rsidRDefault="00DB0662" w:rsidP="00BC3591">
            <w:pPr>
              <w:spacing w:after="30"/>
              <w:jc w:val="center"/>
              <w:rPr>
                <w:sz w:val="24"/>
                <w:szCs w:val="24"/>
                <w:lang w:val="el-GR"/>
              </w:rPr>
            </w:pPr>
          </w:p>
          <w:tbl>
            <w:tblPr>
              <w:tblW w:w="9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8"/>
              <w:gridCol w:w="80"/>
              <w:gridCol w:w="4739"/>
            </w:tblGrid>
            <w:tr w:rsidR="00DB0662" w:rsidRPr="00BA3383" w14:paraId="041B1240" w14:textId="77777777" w:rsidTr="00BC3591">
              <w:tc>
                <w:tcPr>
                  <w:tcW w:w="4838" w:type="dxa"/>
                  <w:tcBorders>
                    <w:top w:val="single" w:sz="12" w:space="0" w:color="6E9EDA"/>
                    <w:left w:val="single" w:sz="12" w:space="0" w:color="6E9EDA"/>
                    <w:bottom w:val="single" w:sz="12" w:space="0" w:color="6E9EDA"/>
                    <w:right w:val="single" w:sz="12" w:space="0" w:color="6E9EDA"/>
                  </w:tcBorders>
                  <w:shd w:val="clear" w:color="auto" w:fill="DCEBFB"/>
                  <w:tcMar>
                    <w:top w:w="60" w:type="dxa"/>
                    <w:left w:w="120" w:type="dxa"/>
                    <w:bottom w:w="60" w:type="dxa"/>
                    <w:right w:w="120" w:type="dxa"/>
                  </w:tcMar>
                  <w:vAlign w:val="center"/>
                </w:tcPr>
                <w:p w14:paraId="2CC5F9BD" w14:textId="77777777" w:rsidR="00DB0662" w:rsidRPr="00BA3383" w:rsidRDefault="00DB0662" w:rsidP="00BC3591">
                  <w:pPr>
                    <w:jc w:val="center"/>
                    <w:rPr>
                      <w:rFonts w:asciiTheme="minorHAnsi" w:hAnsiTheme="minorHAnsi"/>
                      <w:sz w:val="24"/>
                      <w:szCs w:val="24"/>
                    </w:rPr>
                  </w:pPr>
                  <w:r w:rsidRPr="00BA3383">
                    <w:rPr>
                      <w:rFonts w:asciiTheme="minorHAnsi" w:hAnsiTheme="minorHAnsi"/>
                      <w:b/>
                      <w:bCs/>
                      <w:color w:val="1B64B8"/>
                      <w:sz w:val="24"/>
                      <w:szCs w:val="24"/>
                    </w:rPr>
                    <w:t>Τι κάνει</w:t>
                  </w:r>
                </w:p>
              </w:tc>
              <w:tc>
                <w:tcPr>
                  <w:tcW w:w="80" w:type="dxa"/>
                  <w:tcBorders>
                    <w:top w:val="none" w:sz="0" w:space="0" w:color="FFFFFF"/>
                    <w:left w:val="none" w:sz="0" w:space="0" w:color="FFFFFF"/>
                    <w:bottom w:val="none" w:sz="0" w:space="0" w:color="FFFFFF"/>
                    <w:right w:val="none" w:sz="0" w:space="0" w:color="FFFFFF"/>
                  </w:tcBorders>
                </w:tcPr>
                <w:p w14:paraId="420A9C1B" w14:textId="77777777" w:rsidR="00DB0662" w:rsidRPr="00BA3383" w:rsidRDefault="00DB0662" w:rsidP="00BC3591">
                  <w:pPr>
                    <w:rPr>
                      <w:rFonts w:asciiTheme="minorHAnsi" w:hAnsiTheme="minorHAnsi"/>
                      <w:sz w:val="24"/>
                      <w:szCs w:val="24"/>
                    </w:rPr>
                  </w:pPr>
                </w:p>
              </w:tc>
              <w:tc>
                <w:tcPr>
                  <w:tcW w:w="4739" w:type="dxa"/>
                  <w:tcBorders>
                    <w:top w:val="single" w:sz="12" w:space="0" w:color="D78B85"/>
                    <w:left w:val="single" w:sz="12" w:space="0" w:color="D78B85"/>
                    <w:bottom w:val="single" w:sz="12" w:space="0" w:color="D78B85"/>
                    <w:right w:val="single" w:sz="12" w:space="0" w:color="D78B85"/>
                  </w:tcBorders>
                  <w:shd w:val="clear" w:color="auto" w:fill="FCE6E4"/>
                  <w:tcMar>
                    <w:top w:w="60" w:type="dxa"/>
                    <w:left w:w="120" w:type="dxa"/>
                    <w:bottom w:w="60" w:type="dxa"/>
                    <w:right w:w="120" w:type="dxa"/>
                  </w:tcMar>
                  <w:vAlign w:val="center"/>
                </w:tcPr>
                <w:p w14:paraId="2C13867C" w14:textId="77777777" w:rsidR="00DB0662" w:rsidRPr="00BA3383" w:rsidRDefault="00DB0662" w:rsidP="00BC3591">
                  <w:pPr>
                    <w:jc w:val="center"/>
                    <w:rPr>
                      <w:rFonts w:asciiTheme="minorHAnsi" w:hAnsiTheme="minorHAnsi"/>
                      <w:sz w:val="24"/>
                      <w:szCs w:val="24"/>
                    </w:rPr>
                  </w:pPr>
                  <w:r w:rsidRPr="00BA3383">
                    <w:rPr>
                      <w:rFonts w:asciiTheme="minorHAnsi" w:hAnsiTheme="minorHAnsi"/>
                      <w:b/>
                      <w:bCs/>
                      <w:color w:val="BC473C"/>
                      <w:sz w:val="24"/>
                      <w:szCs w:val="24"/>
                    </w:rPr>
                    <w:t>Τι δεν κάνει</w:t>
                  </w:r>
                </w:p>
              </w:tc>
            </w:tr>
            <w:tr w:rsidR="00DB0662" w:rsidRPr="00BA3383" w14:paraId="37E1ADF2" w14:textId="77777777" w:rsidTr="00BC3591">
              <w:tc>
                <w:tcPr>
                  <w:tcW w:w="4838" w:type="dxa"/>
                  <w:tcBorders>
                    <w:top w:val="single" w:sz="6" w:space="0" w:color="6E9EDA"/>
                    <w:left w:val="none" w:sz="0" w:space="0" w:color="FFFFFF"/>
                    <w:bottom w:val="none" w:sz="0" w:space="0" w:color="FFFFFF"/>
                    <w:right w:val="none" w:sz="0" w:space="0" w:color="FFFFFF"/>
                  </w:tcBorders>
                  <w:shd w:val="clear" w:color="auto" w:fill="F4F9FF"/>
                  <w:tcMar>
                    <w:top w:w="80" w:type="dxa"/>
                    <w:left w:w="150" w:type="dxa"/>
                    <w:bottom w:w="100" w:type="dxa"/>
                    <w:right w:w="150" w:type="dxa"/>
                  </w:tcMar>
                </w:tcPr>
                <w:p w14:paraId="1D97D481" w14:textId="77777777" w:rsidR="00DB0662" w:rsidRPr="00BA3383" w:rsidRDefault="00DB0662" w:rsidP="00BC3591">
                  <w:pPr>
                    <w:pBdr>
                      <w:bottom w:val="single" w:sz="4" w:space="1" w:color="6E9EDA"/>
                    </w:pBdr>
                    <w:spacing w:before="60" w:after="60"/>
                    <w:rPr>
                      <w:rFonts w:asciiTheme="minorHAnsi" w:hAnsiTheme="minorHAnsi"/>
                      <w:sz w:val="24"/>
                      <w:szCs w:val="24"/>
                    </w:rPr>
                  </w:pPr>
                  <w:r w:rsidRPr="00BA3383">
                    <w:rPr>
                      <w:rFonts w:ascii="Segoe UI Symbol" w:hAnsi="Segoe UI Symbol" w:cs="Segoe UI Symbol"/>
                      <w:b/>
                      <w:bCs/>
                      <w:color w:val="1B64B8"/>
                      <w:sz w:val="24"/>
                      <w:szCs w:val="24"/>
                    </w:rPr>
                    <w:t>✔</w:t>
                  </w:r>
                  <w:r w:rsidRPr="00BA3383">
                    <w:rPr>
                      <w:rFonts w:asciiTheme="minorHAnsi" w:hAnsiTheme="minorHAnsi"/>
                      <w:b/>
                      <w:bCs/>
                      <w:color w:val="1B64B8"/>
                      <w:sz w:val="24"/>
                      <w:szCs w:val="24"/>
                    </w:rPr>
                    <w:t xml:space="preserve"> Χαράσσει τη νομισματική πολιτική</w:t>
                  </w:r>
                </w:p>
                <w:p w14:paraId="64C015A1" w14:textId="77777777" w:rsidR="00DB0662" w:rsidRPr="00BA3383" w:rsidRDefault="00DB0662" w:rsidP="00BC3591">
                  <w:pPr>
                    <w:spacing w:before="60"/>
                    <w:rPr>
                      <w:rFonts w:asciiTheme="minorHAnsi" w:hAnsiTheme="minorHAnsi"/>
                      <w:sz w:val="24"/>
                      <w:szCs w:val="24"/>
                    </w:rPr>
                  </w:pPr>
                  <w:r w:rsidRPr="00BA3383">
                    <w:rPr>
                      <w:rFonts w:asciiTheme="minorHAnsi" w:hAnsiTheme="minorHAnsi"/>
                      <w:color w:val="2C2C2C"/>
                      <w:sz w:val="24"/>
                      <w:szCs w:val="24"/>
                    </w:rPr>
                    <w:t>Συμβάλλει, ως μέλος του Ευρωσυστήματος, στη χάραξη της νομισματικής πολιτικής για τη ζώνη του ευρώ και είναι αρμόδια για την εφαρμογή της στην Ελλάδα.</w:t>
                  </w:r>
                </w:p>
                <w:p w14:paraId="380AA73E" w14:textId="77777777" w:rsidR="00DB0662" w:rsidRPr="00BA3383" w:rsidRDefault="00DB0662" w:rsidP="00BC3591">
                  <w:pPr>
                    <w:spacing w:before="40"/>
                    <w:rPr>
                      <w:rFonts w:asciiTheme="minorHAnsi" w:hAnsiTheme="minorHAnsi"/>
                      <w:sz w:val="24"/>
                      <w:szCs w:val="24"/>
                    </w:rPr>
                  </w:pPr>
                  <w:r w:rsidRPr="00BA3383">
                    <w:rPr>
                      <w:rFonts w:asciiTheme="minorHAnsi" w:hAnsiTheme="minorHAnsi"/>
                      <w:color w:val="2C2C2C"/>
                      <w:sz w:val="24"/>
                      <w:szCs w:val="24"/>
                    </w:rPr>
                    <w:t>Στο πλαίσιο αυτό, συμμετέχει στις αποφάσεις για τα επιτόκια νομισματικής πολιτικής και διενεργεί πράξεις νομισματικής πολιτικής με εμπορικές τράπεζες στην Ελλάδα.</w:t>
                  </w:r>
                </w:p>
              </w:tc>
              <w:tc>
                <w:tcPr>
                  <w:tcW w:w="80" w:type="dxa"/>
                  <w:tcBorders>
                    <w:top w:val="none" w:sz="0" w:space="0" w:color="FFFFFF"/>
                    <w:left w:val="none" w:sz="0" w:space="0" w:color="FFFFFF"/>
                    <w:bottom w:val="none" w:sz="0" w:space="0" w:color="FFFFFF"/>
                    <w:right w:val="none" w:sz="0" w:space="0" w:color="FFFFFF"/>
                  </w:tcBorders>
                </w:tcPr>
                <w:p w14:paraId="0BBEC2A1" w14:textId="77777777" w:rsidR="00DB0662" w:rsidRPr="00BA3383" w:rsidRDefault="00DB0662" w:rsidP="00BC3591">
                  <w:pPr>
                    <w:rPr>
                      <w:rFonts w:asciiTheme="minorHAnsi" w:hAnsiTheme="minorHAnsi"/>
                      <w:sz w:val="24"/>
                      <w:szCs w:val="24"/>
                    </w:rPr>
                  </w:pPr>
                </w:p>
              </w:tc>
              <w:tc>
                <w:tcPr>
                  <w:tcW w:w="4739" w:type="dxa"/>
                  <w:tcBorders>
                    <w:top w:val="single" w:sz="6" w:space="0" w:color="D78B85"/>
                    <w:left w:val="none" w:sz="0" w:space="0" w:color="FFFFFF"/>
                    <w:bottom w:val="none" w:sz="0" w:space="0" w:color="FFFFFF"/>
                    <w:right w:val="none" w:sz="0" w:space="0" w:color="FFFFFF"/>
                  </w:tcBorders>
                  <w:shd w:val="clear" w:color="auto" w:fill="FFF5F5"/>
                  <w:tcMar>
                    <w:top w:w="80" w:type="dxa"/>
                    <w:left w:w="150" w:type="dxa"/>
                    <w:bottom w:w="100" w:type="dxa"/>
                    <w:right w:w="150" w:type="dxa"/>
                  </w:tcMar>
                </w:tcPr>
                <w:p w14:paraId="303D4A72" w14:textId="76B4A07C" w:rsidR="00DB0662" w:rsidRPr="00BA3383" w:rsidRDefault="00BA3383" w:rsidP="00BC3591">
                  <w:pPr>
                    <w:pBdr>
                      <w:bottom w:val="single" w:sz="4" w:space="1" w:color="D78B85"/>
                    </w:pBdr>
                    <w:spacing w:before="60" w:after="60"/>
                    <w:rPr>
                      <w:rFonts w:asciiTheme="minorHAnsi" w:hAnsiTheme="minorHAnsi"/>
                      <w:sz w:val="24"/>
                      <w:szCs w:val="24"/>
                    </w:rPr>
                  </w:pPr>
                  <w:r>
                    <w:rPr>
                      <w:rFonts w:asciiTheme="minorHAnsi" w:hAnsiTheme="minorHAnsi" w:cs="Segoe UI Symbol"/>
                      <w:b/>
                      <w:bCs/>
                      <w:color w:val="BC473C"/>
                      <w:sz w:val="24"/>
                      <w:szCs w:val="24"/>
                    </w:rPr>
                    <w:t xml:space="preserve">⮾ </w:t>
                  </w:r>
                  <w:r w:rsidR="00DB0662" w:rsidRPr="00BA3383">
                    <w:rPr>
                      <w:rFonts w:asciiTheme="minorHAnsi" w:hAnsiTheme="minorHAnsi"/>
                      <w:b/>
                      <w:bCs/>
                      <w:color w:val="BC473C"/>
                      <w:sz w:val="24"/>
                      <w:szCs w:val="24"/>
                    </w:rPr>
                    <w:t>Δεν ασκεί δημοσιονομική πολιτική</w:t>
                  </w:r>
                </w:p>
                <w:p w14:paraId="3A5DB47B" w14:textId="77777777" w:rsidR="00DB0662" w:rsidRPr="00BA3383" w:rsidRDefault="00DB0662" w:rsidP="00BC3591">
                  <w:pPr>
                    <w:spacing w:before="60"/>
                    <w:rPr>
                      <w:rFonts w:asciiTheme="minorHAnsi" w:hAnsiTheme="minorHAnsi"/>
                      <w:sz w:val="24"/>
                      <w:szCs w:val="24"/>
                    </w:rPr>
                  </w:pPr>
                  <w:r w:rsidRPr="00BA3383">
                    <w:rPr>
                      <w:rFonts w:asciiTheme="minorHAnsi" w:hAnsiTheme="minorHAnsi"/>
                      <w:color w:val="2C2C2C"/>
                      <w:sz w:val="24"/>
                      <w:szCs w:val="24"/>
                    </w:rPr>
                    <w:t>Η δημοσιονομική πολιτική (έσοδα και δαπάνες του κράτους) παραμένει ευθύνη της κυβέρνησης, ενώ η νομισματική πολιτική (επιτόκια και προσφορά χρήματος) είναι ευθύνη της κεντρικής τράπεζας.</w:t>
                  </w:r>
                </w:p>
              </w:tc>
            </w:tr>
            <w:tr w:rsidR="00DB0662" w:rsidRPr="00BA3383" w14:paraId="4225B7F8" w14:textId="77777777" w:rsidTr="00BC3591">
              <w:tc>
                <w:tcPr>
                  <w:tcW w:w="4838" w:type="dxa"/>
                  <w:tcBorders>
                    <w:top w:val="single" w:sz="6" w:space="0" w:color="6E9EDA"/>
                    <w:left w:val="none" w:sz="0" w:space="0" w:color="FFFFFF"/>
                    <w:bottom w:val="none" w:sz="0" w:space="0" w:color="FFFFFF"/>
                    <w:right w:val="none" w:sz="0" w:space="0" w:color="FFFFFF"/>
                  </w:tcBorders>
                  <w:shd w:val="clear" w:color="auto" w:fill="F4F9FF"/>
                  <w:tcMar>
                    <w:top w:w="80" w:type="dxa"/>
                    <w:left w:w="150" w:type="dxa"/>
                    <w:bottom w:w="100" w:type="dxa"/>
                    <w:right w:w="150" w:type="dxa"/>
                  </w:tcMar>
                </w:tcPr>
                <w:p w14:paraId="67DAFFE4" w14:textId="77777777" w:rsidR="00DB0662" w:rsidRPr="00BA3383" w:rsidRDefault="00DB0662" w:rsidP="00BC3591">
                  <w:pPr>
                    <w:pBdr>
                      <w:bottom w:val="single" w:sz="4" w:space="1" w:color="6E9EDA"/>
                    </w:pBdr>
                    <w:spacing w:before="60" w:after="60"/>
                    <w:rPr>
                      <w:rFonts w:asciiTheme="minorHAnsi" w:hAnsiTheme="minorHAnsi"/>
                      <w:sz w:val="24"/>
                      <w:szCs w:val="24"/>
                    </w:rPr>
                  </w:pPr>
                  <w:r w:rsidRPr="00BA3383">
                    <w:rPr>
                      <w:rFonts w:ascii="Segoe UI Symbol" w:hAnsi="Segoe UI Symbol" w:cs="Segoe UI Symbol"/>
                      <w:b/>
                      <w:bCs/>
                      <w:color w:val="1B64B8"/>
                      <w:sz w:val="24"/>
                      <w:szCs w:val="24"/>
                    </w:rPr>
                    <w:t>✔</w:t>
                  </w:r>
                  <w:r w:rsidRPr="00BA3383">
                    <w:rPr>
                      <w:rFonts w:asciiTheme="minorHAnsi" w:hAnsiTheme="minorHAnsi"/>
                      <w:b/>
                      <w:bCs/>
                      <w:color w:val="1B64B8"/>
                      <w:sz w:val="24"/>
                      <w:szCs w:val="24"/>
                    </w:rPr>
                    <w:t xml:space="preserve"> Διασφαλίζει τη σταθερότητα των τιμών</w:t>
                  </w:r>
                </w:p>
                <w:p w14:paraId="5797CC02" w14:textId="77777777" w:rsidR="00DB0662" w:rsidRPr="00BA3383" w:rsidRDefault="00DB0662" w:rsidP="00BC3591">
                  <w:pPr>
                    <w:spacing w:before="60"/>
                    <w:rPr>
                      <w:rFonts w:asciiTheme="minorHAnsi" w:hAnsiTheme="minorHAnsi"/>
                      <w:sz w:val="24"/>
                      <w:szCs w:val="24"/>
                    </w:rPr>
                  </w:pPr>
                  <w:r w:rsidRPr="00BA3383">
                    <w:rPr>
                      <w:rFonts w:asciiTheme="minorHAnsi" w:hAnsiTheme="minorHAnsi"/>
                      <w:color w:val="2C2C2C"/>
                      <w:sz w:val="24"/>
                      <w:szCs w:val="24"/>
                    </w:rPr>
                    <w:t>Επιδιώκει τη διατήρηση μιας χαμηλής, σταθερής και προβλέψιμης μεταβολής του γενικού επιπέδου των τιμών.</w:t>
                  </w:r>
                </w:p>
                <w:p w14:paraId="757A3E11" w14:textId="77777777" w:rsidR="00DB0662" w:rsidRPr="00BA3383" w:rsidRDefault="00DB0662" w:rsidP="00BC3591">
                  <w:pPr>
                    <w:spacing w:before="40"/>
                    <w:rPr>
                      <w:rFonts w:asciiTheme="minorHAnsi" w:hAnsiTheme="minorHAnsi"/>
                      <w:sz w:val="24"/>
                      <w:szCs w:val="24"/>
                    </w:rPr>
                  </w:pPr>
                  <w:r w:rsidRPr="00BA3383">
                    <w:rPr>
                      <w:rFonts w:asciiTheme="minorHAnsi" w:hAnsiTheme="minorHAnsi"/>
                      <w:color w:val="2C2C2C"/>
                      <w:sz w:val="24"/>
                      <w:szCs w:val="24"/>
                    </w:rPr>
                    <w:t>Για την επίτευξη αυτού του στόχου διαθέτει εργαλεία νομισματικής πολιτικής, με τα οποία επηρεάζει τις συνθήκες χρηματοδότησης και τη συνολική ζήτηση στην οικονομία. Μέσω αυτών των εργαλείων, η νομισματική πολιτική επιδρά στο γενικό επίπεδο των τιμών — όχι σε μεμονωμένες τιμές προϊόντων ή υπηρεσιών.</w:t>
                  </w:r>
                </w:p>
              </w:tc>
              <w:tc>
                <w:tcPr>
                  <w:tcW w:w="80" w:type="dxa"/>
                  <w:tcBorders>
                    <w:top w:val="none" w:sz="0" w:space="0" w:color="FFFFFF"/>
                    <w:left w:val="none" w:sz="0" w:space="0" w:color="FFFFFF"/>
                    <w:bottom w:val="none" w:sz="0" w:space="0" w:color="FFFFFF"/>
                    <w:right w:val="none" w:sz="0" w:space="0" w:color="FFFFFF"/>
                  </w:tcBorders>
                </w:tcPr>
                <w:p w14:paraId="6DAC0E1B" w14:textId="77777777" w:rsidR="00DB0662" w:rsidRPr="00BA3383" w:rsidRDefault="00DB0662" w:rsidP="00BC3591">
                  <w:pPr>
                    <w:rPr>
                      <w:rFonts w:asciiTheme="minorHAnsi" w:hAnsiTheme="minorHAnsi"/>
                      <w:sz w:val="24"/>
                      <w:szCs w:val="24"/>
                    </w:rPr>
                  </w:pPr>
                </w:p>
              </w:tc>
              <w:tc>
                <w:tcPr>
                  <w:tcW w:w="4739" w:type="dxa"/>
                  <w:tcBorders>
                    <w:top w:val="single" w:sz="6" w:space="0" w:color="D78B85"/>
                    <w:left w:val="none" w:sz="0" w:space="0" w:color="FFFFFF"/>
                    <w:bottom w:val="none" w:sz="0" w:space="0" w:color="FFFFFF"/>
                    <w:right w:val="none" w:sz="0" w:space="0" w:color="FFFFFF"/>
                  </w:tcBorders>
                  <w:shd w:val="clear" w:color="auto" w:fill="FFF5F5"/>
                  <w:tcMar>
                    <w:top w:w="80" w:type="dxa"/>
                    <w:left w:w="150" w:type="dxa"/>
                    <w:bottom w:w="100" w:type="dxa"/>
                    <w:right w:w="150" w:type="dxa"/>
                  </w:tcMar>
                </w:tcPr>
                <w:p w14:paraId="0937C416" w14:textId="4C3E2BB0" w:rsidR="00DB0662" w:rsidRPr="00BA3383" w:rsidRDefault="00BA3383" w:rsidP="00BC3591">
                  <w:pPr>
                    <w:pBdr>
                      <w:bottom w:val="single" w:sz="4" w:space="1" w:color="D78B85"/>
                    </w:pBdr>
                    <w:spacing w:before="60" w:after="60"/>
                    <w:rPr>
                      <w:rFonts w:asciiTheme="minorHAnsi" w:hAnsiTheme="minorHAnsi"/>
                      <w:sz w:val="24"/>
                      <w:szCs w:val="24"/>
                    </w:rPr>
                  </w:pPr>
                  <w:r>
                    <w:rPr>
                      <w:rFonts w:asciiTheme="minorHAnsi" w:hAnsiTheme="minorHAnsi" w:cs="Segoe UI Symbol"/>
                      <w:b/>
                      <w:bCs/>
                      <w:color w:val="BC473C"/>
                      <w:sz w:val="24"/>
                      <w:szCs w:val="24"/>
                    </w:rPr>
                    <w:t>⮾</w:t>
                  </w:r>
                  <w:r w:rsidR="00DB0662" w:rsidRPr="00BA3383">
                    <w:rPr>
                      <w:rFonts w:asciiTheme="minorHAnsi" w:hAnsiTheme="minorHAnsi"/>
                      <w:b/>
                      <w:bCs/>
                      <w:color w:val="BC473C"/>
                      <w:sz w:val="24"/>
                      <w:szCs w:val="24"/>
                    </w:rPr>
                    <w:t xml:space="preserve"> Δεν καθορίζει κάθε τιμή στην αγορά</w:t>
                  </w:r>
                </w:p>
                <w:p w14:paraId="3B6A37AA" w14:textId="77777777" w:rsidR="00DB0662" w:rsidRPr="00BA3383" w:rsidRDefault="00DB0662" w:rsidP="00BC3591">
                  <w:pPr>
                    <w:spacing w:before="60"/>
                    <w:rPr>
                      <w:rFonts w:asciiTheme="minorHAnsi" w:hAnsiTheme="minorHAnsi"/>
                      <w:sz w:val="24"/>
                      <w:szCs w:val="24"/>
                    </w:rPr>
                  </w:pPr>
                  <w:r w:rsidRPr="00BA3383">
                    <w:rPr>
                      <w:rFonts w:asciiTheme="minorHAnsi" w:hAnsiTheme="minorHAnsi"/>
                      <w:color w:val="2C2C2C"/>
                      <w:sz w:val="24"/>
                      <w:szCs w:val="24"/>
                    </w:rPr>
                    <w:t>Δεν μπορεί να ορίσει απευθείας τις τιμές προϊόντων ή υπηρεσιών, αλλά επιδιώκει, μέσω της νομισματικής πολιτικής να αποτρέψει υπερβολική άνοδο ή πτώση του γενικού επιπέδου των τιμών.</w:t>
                  </w:r>
                </w:p>
                <w:p w14:paraId="74E64D05" w14:textId="77777777" w:rsidR="00DB0662" w:rsidRPr="00BA3383" w:rsidRDefault="00DB0662" w:rsidP="00BC3591">
                  <w:pPr>
                    <w:spacing w:before="40"/>
                    <w:rPr>
                      <w:rFonts w:asciiTheme="minorHAnsi" w:hAnsiTheme="minorHAnsi"/>
                      <w:sz w:val="24"/>
                      <w:szCs w:val="24"/>
                    </w:rPr>
                  </w:pPr>
                  <w:r w:rsidRPr="00BA3383">
                    <w:rPr>
                      <w:rFonts w:asciiTheme="minorHAnsi" w:hAnsiTheme="minorHAnsi"/>
                      <w:color w:val="2C2C2C"/>
                      <w:sz w:val="24"/>
                      <w:szCs w:val="24"/>
                    </w:rPr>
                    <w:t>Η τιμή κάθε προϊόντος ή υπηρεσίας διαμορφώνεται ελεύθερα στην αγορά, με βάση παράγοντες όπως το κόστος παραγωγής, η τεχνολογία, η προσφορά, η ζήτηση και ο ανταγωνισμός.</w:t>
                  </w:r>
                </w:p>
              </w:tc>
            </w:tr>
            <w:tr w:rsidR="00DB0662" w:rsidRPr="00BA3383" w14:paraId="56B63B21" w14:textId="77777777" w:rsidTr="00BC3591">
              <w:tc>
                <w:tcPr>
                  <w:tcW w:w="4838" w:type="dxa"/>
                  <w:tcBorders>
                    <w:top w:val="single" w:sz="6" w:space="0" w:color="6E9EDA"/>
                    <w:left w:val="none" w:sz="0" w:space="0" w:color="FFFFFF"/>
                    <w:bottom w:val="none" w:sz="0" w:space="0" w:color="FFFFFF"/>
                    <w:right w:val="none" w:sz="0" w:space="0" w:color="FFFFFF"/>
                  </w:tcBorders>
                  <w:shd w:val="clear" w:color="auto" w:fill="F4F9FF"/>
                  <w:tcMar>
                    <w:top w:w="80" w:type="dxa"/>
                    <w:left w:w="150" w:type="dxa"/>
                    <w:bottom w:w="100" w:type="dxa"/>
                    <w:right w:w="150" w:type="dxa"/>
                  </w:tcMar>
                </w:tcPr>
                <w:p w14:paraId="3C0F8860" w14:textId="77777777" w:rsidR="00DB0662" w:rsidRPr="00BA3383" w:rsidRDefault="00DB0662" w:rsidP="00BC3591">
                  <w:pPr>
                    <w:pBdr>
                      <w:bottom w:val="single" w:sz="4" w:space="1" w:color="6E9EDA"/>
                    </w:pBdr>
                    <w:spacing w:before="60" w:after="60"/>
                    <w:rPr>
                      <w:rFonts w:asciiTheme="minorHAnsi" w:hAnsiTheme="minorHAnsi"/>
                      <w:sz w:val="24"/>
                      <w:szCs w:val="24"/>
                    </w:rPr>
                  </w:pPr>
                  <w:r w:rsidRPr="00BA3383">
                    <w:rPr>
                      <w:rFonts w:ascii="Segoe UI Symbol" w:hAnsi="Segoe UI Symbol" w:cs="Segoe UI Symbol"/>
                      <w:b/>
                      <w:bCs/>
                      <w:color w:val="1B64B8"/>
                      <w:sz w:val="24"/>
                      <w:szCs w:val="24"/>
                    </w:rPr>
                    <w:t>✔</w:t>
                  </w:r>
                  <w:r w:rsidRPr="00BA3383">
                    <w:rPr>
                      <w:rFonts w:asciiTheme="minorHAnsi" w:hAnsiTheme="minorHAnsi"/>
                      <w:b/>
                      <w:bCs/>
                      <w:color w:val="1B64B8"/>
                      <w:sz w:val="24"/>
                      <w:szCs w:val="24"/>
                    </w:rPr>
                    <w:t xml:space="preserve"> Παρέχει ρευστότητα στις εμπορικές τράπεζες</w:t>
                  </w:r>
                </w:p>
                <w:p w14:paraId="3AEF9834" w14:textId="77777777" w:rsidR="00DB0662" w:rsidRPr="00BA3383" w:rsidRDefault="00DB0662" w:rsidP="00BC3591">
                  <w:pPr>
                    <w:spacing w:before="60"/>
                    <w:rPr>
                      <w:rFonts w:asciiTheme="minorHAnsi" w:hAnsiTheme="minorHAnsi"/>
                      <w:sz w:val="24"/>
                      <w:szCs w:val="24"/>
                    </w:rPr>
                  </w:pPr>
                  <w:r w:rsidRPr="00BA3383">
                    <w:rPr>
                      <w:rFonts w:asciiTheme="minorHAnsi" w:hAnsiTheme="minorHAnsi"/>
                      <w:color w:val="2C2C2C"/>
                      <w:sz w:val="24"/>
                      <w:szCs w:val="24"/>
                    </w:rPr>
                    <w:t>Λειτουργεί ως «τράπεζα των τραπεζών». Δέχεται καταθέσεις από τις εμπορικές τράπεζες και παρέχει σε αυτές ή απορροφά από αυτές ρευστότητα, στο πλαίσιο εφαρμογής της νομισματικής πολιτικής.</w:t>
                  </w:r>
                </w:p>
                <w:p w14:paraId="14AEC7C1" w14:textId="77777777" w:rsidR="00DB0662" w:rsidRPr="00BA3383" w:rsidRDefault="00DB0662" w:rsidP="00BC3591">
                  <w:pPr>
                    <w:spacing w:before="40"/>
                    <w:rPr>
                      <w:rFonts w:asciiTheme="minorHAnsi" w:hAnsiTheme="minorHAnsi"/>
                      <w:sz w:val="24"/>
                      <w:szCs w:val="24"/>
                    </w:rPr>
                  </w:pPr>
                  <w:r w:rsidRPr="00BA3383">
                    <w:rPr>
                      <w:rFonts w:asciiTheme="minorHAnsi" w:hAnsiTheme="minorHAnsi"/>
                      <w:color w:val="2C2C2C"/>
                      <w:sz w:val="24"/>
                      <w:szCs w:val="24"/>
                    </w:rPr>
                    <w:t>Έτσι επηρεάζονται οι συνθήκες χρηματοδότησης στην οικονομία — όπως τα επιτόκια δανείων και καταθέσεων — με στόχο τη σταθερότητα των τιμών.</w:t>
                  </w:r>
                </w:p>
              </w:tc>
              <w:tc>
                <w:tcPr>
                  <w:tcW w:w="80" w:type="dxa"/>
                  <w:tcBorders>
                    <w:top w:val="none" w:sz="0" w:space="0" w:color="FFFFFF"/>
                    <w:left w:val="none" w:sz="0" w:space="0" w:color="FFFFFF"/>
                    <w:bottom w:val="none" w:sz="0" w:space="0" w:color="FFFFFF"/>
                    <w:right w:val="none" w:sz="0" w:space="0" w:color="FFFFFF"/>
                  </w:tcBorders>
                </w:tcPr>
                <w:p w14:paraId="1031E7D2" w14:textId="77777777" w:rsidR="00DB0662" w:rsidRPr="00BA3383" w:rsidRDefault="00DB0662" w:rsidP="00BC3591">
                  <w:pPr>
                    <w:rPr>
                      <w:rFonts w:asciiTheme="minorHAnsi" w:hAnsiTheme="minorHAnsi"/>
                      <w:sz w:val="24"/>
                      <w:szCs w:val="24"/>
                    </w:rPr>
                  </w:pPr>
                </w:p>
              </w:tc>
              <w:tc>
                <w:tcPr>
                  <w:tcW w:w="4739" w:type="dxa"/>
                  <w:tcBorders>
                    <w:top w:val="single" w:sz="6" w:space="0" w:color="D78B85"/>
                    <w:left w:val="none" w:sz="0" w:space="0" w:color="FFFFFF"/>
                    <w:bottom w:val="none" w:sz="0" w:space="0" w:color="FFFFFF"/>
                    <w:right w:val="none" w:sz="0" w:space="0" w:color="FFFFFF"/>
                  </w:tcBorders>
                  <w:shd w:val="clear" w:color="auto" w:fill="FFF5F5"/>
                  <w:tcMar>
                    <w:top w:w="80" w:type="dxa"/>
                    <w:left w:w="150" w:type="dxa"/>
                    <w:bottom w:w="100" w:type="dxa"/>
                    <w:right w:w="150" w:type="dxa"/>
                  </w:tcMar>
                </w:tcPr>
                <w:p w14:paraId="6597194F" w14:textId="1400E59A" w:rsidR="00DB0662" w:rsidRPr="00BA3383" w:rsidRDefault="00BA3383" w:rsidP="00BC3591">
                  <w:pPr>
                    <w:pBdr>
                      <w:bottom w:val="single" w:sz="4" w:space="1" w:color="D78B85"/>
                    </w:pBdr>
                    <w:spacing w:before="60" w:after="60"/>
                    <w:rPr>
                      <w:rFonts w:asciiTheme="minorHAnsi" w:hAnsiTheme="minorHAnsi"/>
                      <w:b/>
                      <w:bCs/>
                      <w:color w:val="BC473C"/>
                      <w:sz w:val="24"/>
                      <w:szCs w:val="24"/>
                    </w:rPr>
                  </w:pPr>
                  <w:r>
                    <w:rPr>
                      <w:rFonts w:asciiTheme="minorHAnsi" w:hAnsiTheme="minorHAnsi" w:cs="Segoe UI Symbol"/>
                      <w:b/>
                      <w:bCs/>
                      <w:color w:val="BC473C"/>
                      <w:sz w:val="24"/>
                      <w:szCs w:val="24"/>
                    </w:rPr>
                    <w:t>⮾</w:t>
                  </w:r>
                  <w:r w:rsidR="00DB0662" w:rsidRPr="00BA3383">
                    <w:rPr>
                      <w:rFonts w:asciiTheme="minorHAnsi" w:hAnsiTheme="minorHAnsi"/>
                      <w:b/>
                      <w:bCs/>
                      <w:color w:val="BC473C"/>
                      <w:sz w:val="24"/>
                      <w:szCs w:val="24"/>
                    </w:rPr>
                    <w:t xml:space="preserve"> Δεν είναι εμπορική τράπεζα</w:t>
                  </w:r>
                </w:p>
                <w:p w14:paraId="70B2EA7A" w14:textId="77777777" w:rsidR="00DB0662" w:rsidRPr="00BA3383" w:rsidRDefault="00DB0662" w:rsidP="00BC3591">
                  <w:pPr>
                    <w:pBdr>
                      <w:bottom w:val="single" w:sz="4" w:space="1" w:color="D78B85"/>
                    </w:pBdr>
                    <w:spacing w:before="60" w:after="60"/>
                    <w:rPr>
                      <w:rFonts w:asciiTheme="minorHAnsi" w:hAnsiTheme="minorHAnsi"/>
                      <w:sz w:val="24"/>
                      <w:szCs w:val="24"/>
                    </w:rPr>
                  </w:pPr>
                </w:p>
                <w:p w14:paraId="1ADA310D" w14:textId="77777777" w:rsidR="00DB0662" w:rsidRPr="00BA3383" w:rsidRDefault="00DB0662" w:rsidP="00BC3591">
                  <w:pPr>
                    <w:spacing w:before="60"/>
                    <w:rPr>
                      <w:rFonts w:asciiTheme="minorHAnsi" w:hAnsiTheme="minorHAnsi"/>
                      <w:sz w:val="24"/>
                      <w:szCs w:val="24"/>
                    </w:rPr>
                  </w:pPr>
                  <w:r w:rsidRPr="00BA3383">
                    <w:rPr>
                      <w:rFonts w:asciiTheme="minorHAnsi" w:hAnsiTheme="minorHAnsi"/>
                      <w:color w:val="2C2C2C"/>
                      <w:sz w:val="24"/>
                      <w:szCs w:val="24"/>
                    </w:rPr>
                    <w:t>Δεν τηρεί λογαριασμούς για ιδιώτες και επιχειρήσεις, ούτε τους χορηγεί δάνεια.</w:t>
                  </w:r>
                </w:p>
                <w:p w14:paraId="3F987466" w14:textId="77777777" w:rsidR="00DB0662" w:rsidRPr="00BA3383" w:rsidRDefault="00DB0662" w:rsidP="00BC3591">
                  <w:pPr>
                    <w:spacing w:before="40"/>
                    <w:rPr>
                      <w:rFonts w:asciiTheme="minorHAnsi" w:hAnsiTheme="minorHAnsi"/>
                      <w:sz w:val="24"/>
                      <w:szCs w:val="24"/>
                    </w:rPr>
                  </w:pPr>
                  <w:r w:rsidRPr="00BA3383">
                    <w:rPr>
                      <w:rFonts w:asciiTheme="minorHAnsi" w:hAnsiTheme="minorHAnsi"/>
                      <w:color w:val="2C2C2C"/>
                      <w:sz w:val="24"/>
                      <w:szCs w:val="24"/>
                    </w:rPr>
                    <w:t>Ένας πολίτης ή μία εταιρία δεν μπορεί να ανοίξει λογαριασμό για να καταθέσει τα χρήματά του στην Τράπεζα της Ελλάδος, ούτε να λάβει δάνειο ή πιστωτική κάρτα από αυτή, όπως γίνεται με τις εμπορικές τράπεζες.</w:t>
                  </w:r>
                </w:p>
              </w:tc>
            </w:tr>
          </w:tbl>
          <w:p w14:paraId="2807452B" w14:textId="77777777" w:rsidR="00DB0662" w:rsidRPr="00BA3383" w:rsidRDefault="00DB0662" w:rsidP="00BC3591">
            <w:pPr>
              <w:rPr>
                <w:sz w:val="24"/>
                <w:szCs w:val="24"/>
                <w:lang w:val="el-GR"/>
              </w:rPr>
            </w:pPr>
            <w:r w:rsidRPr="00BA3383">
              <w:rPr>
                <w:sz w:val="24"/>
                <w:szCs w:val="24"/>
                <w:lang w:val="el-GR"/>
              </w:rPr>
              <w:br w:type="page"/>
            </w:r>
          </w:p>
          <w:p w14:paraId="39F556D7" w14:textId="77777777" w:rsidR="00DB0662" w:rsidRPr="00BA3383" w:rsidRDefault="00DB0662" w:rsidP="00BC3591">
            <w:pPr>
              <w:spacing w:after="30"/>
              <w:jc w:val="center"/>
              <w:rPr>
                <w:rFonts w:eastAsia="Arial" w:cs="Arial"/>
                <w:b/>
                <w:bCs/>
                <w:color w:val="164E97"/>
                <w:sz w:val="24"/>
                <w:szCs w:val="24"/>
                <w:lang w:val="el-GR"/>
              </w:rPr>
            </w:pPr>
          </w:p>
          <w:p w14:paraId="1411563E" w14:textId="77777777" w:rsidR="00DB0662" w:rsidRPr="00BA3383" w:rsidRDefault="00DB0662" w:rsidP="00BC3591">
            <w:pPr>
              <w:spacing w:after="30"/>
              <w:jc w:val="center"/>
              <w:rPr>
                <w:rFonts w:eastAsia="Arial" w:cs="Arial"/>
                <w:b/>
                <w:bCs/>
                <w:color w:val="164E97"/>
                <w:sz w:val="24"/>
                <w:szCs w:val="24"/>
                <w:lang w:val="el-GR"/>
              </w:rPr>
            </w:pPr>
          </w:p>
          <w:p w14:paraId="78263DB8" w14:textId="77777777" w:rsidR="00DB0662" w:rsidRPr="00BA3383" w:rsidRDefault="00DB0662" w:rsidP="00BC3591">
            <w:pPr>
              <w:spacing w:after="30"/>
              <w:jc w:val="center"/>
              <w:rPr>
                <w:rFonts w:eastAsia="Arial" w:cs="Arial"/>
                <w:b/>
                <w:bCs/>
                <w:color w:val="164E97"/>
                <w:sz w:val="24"/>
                <w:szCs w:val="24"/>
                <w:lang w:val="el-GR"/>
              </w:rPr>
            </w:pPr>
          </w:p>
          <w:p w14:paraId="6E1ABAB2" w14:textId="77777777" w:rsidR="00DB0662" w:rsidRPr="00BA3383" w:rsidRDefault="00DB0662" w:rsidP="00BC3591">
            <w:pPr>
              <w:spacing w:after="30"/>
              <w:jc w:val="center"/>
              <w:rPr>
                <w:rFonts w:eastAsia="Arial" w:cs="Arial"/>
                <w:b/>
                <w:bCs/>
                <w:color w:val="164E97"/>
                <w:sz w:val="24"/>
                <w:szCs w:val="24"/>
                <w:lang w:val="el-GR"/>
              </w:rPr>
            </w:pPr>
          </w:p>
          <w:p w14:paraId="12792C70" w14:textId="77777777" w:rsidR="00DB0662" w:rsidRPr="00BA3383" w:rsidRDefault="00DB0662" w:rsidP="00BC3591">
            <w:pPr>
              <w:spacing w:after="30"/>
              <w:jc w:val="center"/>
              <w:rPr>
                <w:rFonts w:eastAsia="Arial" w:cs="Arial"/>
                <w:b/>
                <w:bCs/>
                <w:color w:val="164E97"/>
                <w:sz w:val="24"/>
                <w:szCs w:val="24"/>
                <w:lang w:val="el-GR"/>
              </w:rPr>
            </w:pPr>
          </w:p>
          <w:p w14:paraId="206BEDF3" w14:textId="77777777" w:rsidR="00DB0662" w:rsidRPr="00BA3383" w:rsidRDefault="00DB0662" w:rsidP="00BC3591">
            <w:pPr>
              <w:spacing w:after="30"/>
              <w:jc w:val="center"/>
              <w:rPr>
                <w:rFonts w:eastAsia="Arial" w:cs="Arial"/>
                <w:b/>
                <w:bCs/>
                <w:color w:val="164E97"/>
                <w:sz w:val="24"/>
                <w:szCs w:val="24"/>
                <w:lang w:val="el-GR"/>
              </w:rPr>
            </w:pPr>
          </w:p>
          <w:p w14:paraId="67943DF2" w14:textId="77777777" w:rsidR="00DB0662" w:rsidRPr="00BA3383" w:rsidRDefault="00DB0662" w:rsidP="00BC3591">
            <w:pPr>
              <w:spacing w:after="30"/>
              <w:jc w:val="center"/>
              <w:rPr>
                <w:sz w:val="24"/>
                <w:szCs w:val="24"/>
                <w:lang w:val="el-GR"/>
              </w:rPr>
            </w:pPr>
            <w:r w:rsidRPr="00BA3383">
              <w:rPr>
                <w:rFonts w:eastAsia="Arial" w:cs="Arial"/>
                <w:b/>
                <w:bCs/>
                <w:color w:val="164E97"/>
                <w:sz w:val="24"/>
                <w:szCs w:val="24"/>
                <w:lang w:val="el-GR"/>
              </w:rPr>
              <w:t>Η Τράπεζα της Ελλάδος</w:t>
            </w:r>
          </w:p>
          <w:p w14:paraId="3D194F5F" w14:textId="77777777" w:rsidR="00DB0662" w:rsidRPr="00BA3383" w:rsidRDefault="00DB0662" w:rsidP="00BC3591">
            <w:pPr>
              <w:spacing w:after="80"/>
              <w:jc w:val="center"/>
              <w:rPr>
                <w:sz w:val="24"/>
                <w:szCs w:val="24"/>
                <w:lang w:val="el-GR"/>
              </w:rPr>
            </w:pPr>
          </w:p>
          <w:tbl>
            <w:tblPr>
              <w:tblW w:w="9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8"/>
              <w:gridCol w:w="40"/>
              <w:gridCol w:w="4921"/>
            </w:tblGrid>
            <w:tr w:rsidR="00DB0662" w:rsidRPr="00BA3383" w14:paraId="784F78B2" w14:textId="77777777" w:rsidTr="00BC3591">
              <w:tc>
                <w:tcPr>
                  <w:tcW w:w="4838" w:type="dxa"/>
                  <w:tcBorders>
                    <w:top w:val="single" w:sz="12" w:space="0" w:color="6E9EDA"/>
                    <w:left w:val="single" w:sz="12" w:space="0" w:color="6E9EDA"/>
                    <w:bottom w:val="single" w:sz="12" w:space="0" w:color="6E9EDA"/>
                    <w:right w:val="single" w:sz="12" w:space="0" w:color="6E9EDA"/>
                  </w:tcBorders>
                  <w:shd w:val="clear" w:color="auto" w:fill="DCEBFB"/>
                  <w:tcMar>
                    <w:top w:w="60" w:type="dxa"/>
                    <w:left w:w="120" w:type="dxa"/>
                    <w:bottom w:w="60" w:type="dxa"/>
                    <w:right w:w="120" w:type="dxa"/>
                  </w:tcMar>
                  <w:vAlign w:val="center"/>
                </w:tcPr>
                <w:p w14:paraId="0F06BCEA" w14:textId="77777777" w:rsidR="00DB0662" w:rsidRPr="00BA3383" w:rsidRDefault="00DB0662" w:rsidP="00BC3591">
                  <w:pPr>
                    <w:jc w:val="center"/>
                    <w:rPr>
                      <w:rFonts w:asciiTheme="minorHAnsi" w:hAnsiTheme="minorHAnsi"/>
                      <w:sz w:val="24"/>
                      <w:szCs w:val="24"/>
                    </w:rPr>
                  </w:pPr>
                  <w:r w:rsidRPr="00BA3383">
                    <w:rPr>
                      <w:rFonts w:asciiTheme="minorHAnsi" w:hAnsiTheme="minorHAnsi"/>
                      <w:b/>
                      <w:bCs/>
                      <w:color w:val="1B64B8"/>
                      <w:sz w:val="24"/>
                      <w:szCs w:val="24"/>
                    </w:rPr>
                    <w:t>Τι κάνει</w:t>
                  </w:r>
                </w:p>
              </w:tc>
              <w:tc>
                <w:tcPr>
                  <w:tcW w:w="40" w:type="dxa"/>
                  <w:tcBorders>
                    <w:top w:val="none" w:sz="0" w:space="0" w:color="FFFFFF"/>
                    <w:left w:val="none" w:sz="0" w:space="0" w:color="FFFFFF"/>
                    <w:bottom w:val="none" w:sz="0" w:space="0" w:color="FFFFFF"/>
                    <w:right w:val="none" w:sz="0" w:space="0" w:color="FFFFFF"/>
                  </w:tcBorders>
                </w:tcPr>
                <w:p w14:paraId="108A28D7" w14:textId="77777777" w:rsidR="00DB0662" w:rsidRPr="00BA3383" w:rsidRDefault="00DB0662" w:rsidP="00BC3591">
                  <w:pPr>
                    <w:rPr>
                      <w:rFonts w:asciiTheme="minorHAnsi" w:hAnsiTheme="minorHAnsi"/>
                      <w:sz w:val="24"/>
                      <w:szCs w:val="24"/>
                    </w:rPr>
                  </w:pPr>
                </w:p>
              </w:tc>
              <w:tc>
                <w:tcPr>
                  <w:tcW w:w="4921" w:type="dxa"/>
                  <w:tcBorders>
                    <w:top w:val="single" w:sz="12" w:space="0" w:color="D78B85"/>
                    <w:left w:val="single" w:sz="12" w:space="0" w:color="D78B85"/>
                    <w:bottom w:val="single" w:sz="12" w:space="0" w:color="D78B85"/>
                    <w:right w:val="single" w:sz="12" w:space="0" w:color="D78B85"/>
                  </w:tcBorders>
                  <w:shd w:val="clear" w:color="auto" w:fill="FCE6E4"/>
                  <w:tcMar>
                    <w:top w:w="60" w:type="dxa"/>
                    <w:left w:w="120" w:type="dxa"/>
                    <w:bottom w:w="60" w:type="dxa"/>
                    <w:right w:w="120" w:type="dxa"/>
                  </w:tcMar>
                  <w:vAlign w:val="center"/>
                </w:tcPr>
                <w:p w14:paraId="1F4D6CB1" w14:textId="77777777" w:rsidR="00DB0662" w:rsidRPr="00BA3383" w:rsidRDefault="00DB0662" w:rsidP="00BC3591">
                  <w:pPr>
                    <w:jc w:val="center"/>
                    <w:rPr>
                      <w:rFonts w:asciiTheme="minorHAnsi" w:hAnsiTheme="minorHAnsi"/>
                      <w:sz w:val="24"/>
                      <w:szCs w:val="24"/>
                    </w:rPr>
                  </w:pPr>
                  <w:r w:rsidRPr="00BA3383">
                    <w:rPr>
                      <w:rFonts w:asciiTheme="minorHAnsi" w:hAnsiTheme="minorHAnsi"/>
                      <w:b/>
                      <w:bCs/>
                      <w:color w:val="BC473C"/>
                      <w:sz w:val="24"/>
                      <w:szCs w:val="24"/>
                    </w:rPr>
                    <w:t xml:space="preserve"> Τι δεν κάνει</w:t>
                  </w:r>
                </w:p>
              </w:tc>
            </w:tr>
            <w:tr w:rsidR="00DB0662" w:rsidRPr="00BA3383" w14:paraId="3816DAA3" w14:textId="77777777" w:rsidTr="00BC3591">
              <w:tc>
                <w:tcPr>
                  <w:tcW w:w="4838" w:type="dxa"/>
                  <w:tcBorders>
                    <w:top w:val="single" w:sz="6" w:space="0" w:color="6E9EDA"/>
                    <w:left w:val="none" w:sz="0" w:space="0" w:color="FFFFFF"/>
                    <w:bottom w:val="none" w:sz="0" w:space="0" w:color="FFFFFF"/>
                    <w:right w:val="none" w:sz="0" w:space="0" w:color="FFFFFF"/>
                  </w:tcBorders>
                  <w:shd w:val="clear" w:color="auto" w:fill="F4F9FF"/>
                  <w:tcMar>
                    <w:top w:w="80" w:type="dxa"/>
                    <w:left w:w="150" w:type="dxa"/>
                    <w:bottom w:w="100" w:type="dxa"/>
                    <w:right w:w="150" w:type="dxa"/>
                  </w:tcMar>
                </w:tcPr>
                <w:p w14:paraId="1BD63FEC" w14:textId="77777777" w:rsidR="00DB0662" w:rsidRDefault="00DB0662" w:rsidP="00BC3591">
                  <w:pPr>
                    <w:pBdr>
                      <w:bottom w:val="single" w:sz="4" w:space="1" w:color="6E9EDA"/>
                    </w:pBdr>
                    <w:spacing w:before="60" w:after="60"/>
                    <w:rPr>
                      <w:rFonts w:asciiTheme="minorHAnsi" w:hAnsiTheme="minorHAnsi"/>
                      <w:b/>
                      <w:bCs/>
                      <w:color w:val="1B64B8"/>
                      <w:sz w:val="24"/>
                      <w:szCs w:val="24"/>
                    </w:rPr>
                  </w:pPr>
                  <w:r w:rsidRPr="00BA3383">
                    <w:rPr>
                      <w:rFonts w:ascii="Segoe UI Symbol" w:hAnsi="Segoe UI Symbol" w:cs="Segoe UI Symbol"/>
                      <w:b/>
                      <w:bCs/>
                      <w:color w:val="1B64B8"/>
                      <w:sz w:val="24"/>
                      <w:szCs w:val="24"/>
                    </w:rPr>
                    <w:t>✔</w:t>
                  </w:r>
                  <w:r w:rsidRPr="00BA3383">
                    <w:rPr>
                      <w:rFonts w:asciiTheme="minorHAnsi" w:hAnsiTheme="minorHAnsi"/>
                      <w:b/>
                      <w:bCs/>
                      <w:color w:val="1B64B8"/>
                      <w:sz w:val="24"/>
                      <w:szCs w:val="24"/>
                    </w:rPr>
                    <w:t xml:space="preserve"> Αποφασίζει για τα επιτόκια πολιτικής</w:t>
                  </w:r>
                </w:p>
                <w:p w14:paraId="6E003FBE" w14:textId="77777777" w:rsidR="00BA3383" w:rsidRPr="00BA3383" w:rsidRDefault="00BA3383" w:rsidP="00BC3591">
                  <w:pPr>
                    <w:pBdr>
                      <w:bottom w:val="single" w:sz="4" w:space="1" w:color="6E9EDA"/>
                    </w:pBdr>
                    <w:spacing w:before="60" w:after="60"/>
                    <w:rPr>
                      <w:rFonts w:asciiTheme="minorHAnsi" w:hAnsiTheme="minorHAnsi"/>
                      <w:sz w:val="24"/>
                      <w:szCs w:val="24"/>
                    </w:rPr>
                  </w:pPr>
                </w:p>
                <w:p w14:paraId="055F12EF" w14:textId="77777777" w:rsidR="00DB0662" w:rsidRPr="00BA3383" w:rsidRDefault="00DB0662" w:rsidP="00BC3591">
                  <w:pPr>
                    <w:spacing w:before="60"/>
                    <w:rPr>
                      <w:rFonts w:asciiTheme="minorHAnsi" w:hAnsiTheme="minorHAnsi"/>
                      <w:sz w:val="24"/>
                      <w:szCs w:val="24"/>
                    </w:rPr>
                  </w:pPr>
                  <w:r w:rsidRPr="00BA3383">
                    <w:rPr>
                      <w:rFonts w:asciiTheme="minorHAnsi" w:hAnsiTheme="minorHAnsi"/>
                      <w:color w:val="2C2C2C"/>
                      <w:sz w:val="24"/>
                      <w:szCs w:val="24"/>
                    </w:rPr>
                    <w:t>Ο Διοικητής της Τράπεζας της Ελλάδος συμμετέχει ως ισότιμο μέλος στο Διοικητικό Συμβούλιο της ΕΚΤ που καθορίζει τα επιτόκια νομισματικής πολιτικής.</w:t>
                  </w:r>
                </w:p>
                <w:p w14:paraId="2B661844" w14:textId="77777777" w:rsidR="00DB0662" w:rsidRPr="00BA3383" w:rsidRDefault="00DB0662" w:rsidP="00BC3591">
                  <w:pPr>
                    <w:spacing w:before="40"/>
                    <w:rPr>
                      <w:rFonts w:asciiTheme="minorHAnsi" w:hAnsiTheme="minorHAnsi"/>
                      <w:sz w:val="24"/>
                      <w:szCs w:val="24"/>
                    </w:rPr>
                  </w:pPr>
                  <w:r w:rsidRPr="00BA3383">
                    <w:rPr>
                      <w:rFonts w:asciiTheme="minorHAnsi" w:hAnsiTheme="minorHAnsi"/>
                      <w:color w:val="2C2C2C"/>
                      <w:sz w:val="24"/>
                      <w:szCs w:val="24"/>
                    </w:rPr>
                    <w:t>Μέσω του μηχανισμού μετάδοσης της νομισματικής πολιτικής, τα επιτόκια πολιτικής επηρεάζουν τα επιτόκια που οι εμπορικές τράπεζες προσφέρουν στους πελάτες τους.</w:t>
                  </w:r>
                </w:p>
              </w:tc>
              <w:tc>
                <w:tcPr>
                  <w:tcW w:w="40" w:type="dxa"/>
                  <w:tcBorders>
                    <w:top w:val="none" w:sz="0" w:space="0" w:color="FFFFFF"/>
                    <w:left w:val="none" w:sz="0" w:space="0" w:color="FFFFFF"/>
                    <w:bottom w:val="none" w:sz="0" w:space="0" w:color="FFFFFF"/>
                    <w:right w:val="none" w:sz="0" w:space="0" w:color="FFFFFF"/>
                  </w:tcBorders>
                </w:tcPr>
                <w:p w14:paraId="06BDC073" w14:textId="77777777" w:rsidR="00DB0662" w:rsidRPr="00BA3383" w:rsidRDefault="00DB0662" w:rsidP="00BC3591">
                  <w:pPr>
                    <w:rPr>
                      <w:rFonts w:asciiTheme="minorHAnsi" w:hAnsiTheme="minorHAnsi"/>
                      <w:sz w:val="24"/>
                      <w:szCs w:val="24"/>
                    </w:rPr>
                  </w:pPr>
                </w:p>
              </w:tc>
              <w:tc>
                <w:tcPr>
                  <w:tcW w:w="4921" w:type="dxa"/>
                  <w:tcBorders>
                    <w:top w:val="single" w:sz="6" w:space="0" w:color="D78B85"/>
                    <w:left w:val="none" w:sz="0" w:space="0" w:color="FFFFFF"/>
                    <w:bottom w:val="none" w:sz="0" w:space="0" w:color="FFFFFF"/>
                    <w:right w:val="none" w:sz="0" w:space="0" w:color="FFFFFF"/>
                  </w:tcBorders>
                  <w:shd w:val="clear" w:color="auto" w:fill="FFF5F5"/>
                  <w:tcMar>
                    <w:top w:w="80" w:type="dxa"/>
                    <w:left w:w="150" w:type="dxa"/>
                    <w:bottom w:w="100" w:type="dxa"/>
                    <w:right w:w="150" w:type="dxa"/>
                  </w:tcMar>
                </w:tcPr>
                <w:p w14:paraId="388CA3CA" w14:textId="412D3031" w:rsidR="00DB0662" w:rsidRPr="00BA3383" w:rsidRDefault="00BA3383" w:rsidP="00BC3591">
                  <w:pPr>
                    <w:pBdr>
                      <w:bottom w:val="single" w:sz="4" w:space="1" w:color="D78B85"/>
                    </w:pBdr>
                    <w:spacing w:before="60" w:after="60"/>
                    <w:rPr>
                      <w:rFonts w:asciiTheme="minorHAnsi" w:hAnsiTheme="minorHAnsi"/>
                      <w:sz w:val="24"/>
                      <w:szCs w:val="24"/>
                    </w:rPr>
                  </w:pPr>
                  <w:r>
                    <w:rPr>
                      <w:rFonts w:asciiTheme="minorHAnsi" w:hAnsiTheme="minorHAnsi" w:cs="Segoe UI Symbol"/>
                      <w:b/>
                      <w:bCs/>
                      <w:color w:val="BC473C"/>
                      <w:sz w:val="24"/>
                      <w:szCs w:val="24"/>
                    </w:rPr>
                    <w:t>⮾</w:t>
                  </w:r>
                  <w:r w:rsidR="000B05B4">
                    <w:rPr>
                      <w:rFonts w:asciiTheme="minorHAnsi" w:hAnsiTheme="minorHAnsi" w:cs="Segoe UI Symbol"/>
                      <w:b/>
                      <w:bCs/>
                      <w:color w:val="BC473C"/>
                      <w:sz w:val="24"/>
                      <w:szCs w:val="24"/>
                    </w:rPr>
                    <w:t xml:space="preserve"> </w:t>
                  </w:r>
                  <w:r w:rsidR="00DB0662" w:rsidRPr="00BA3383">
                    <w:rPr>
                      <w:rFonts w:asciiTheme="minorHAnsi" w:hAnsiTheme="minorHAnsi"/>
                      <w:b/>
                      <w:bCs/>
                      <w:color w:val="BC473C"/>
                      <w:sz w:val="24"/>
                      <w:szCs w:val="24"/>
                    </w:rPr>
                    <w:t>Δεν αποφασίζει για τα επιτόκια δανείων και καταθέσεων</w:t>
                  </w:r>
                </w:p>
                <w:p w14:paraId="06745613" w14:textId="77777777" w:rsidR="00DB0662" w:rsidRPr="00BA3383" w:rsidRDefault="00DB0662" w:rsidP="00BC3591">
                  <w:pPr>
                    <w:spacing w:before="60"/>
                    <w:rPr>
                      <w:rFonts w:asciiTheme="minorHAnsi" w:hAnsiTheme="minorHAnsi"/>
                      <w:sz w:val="24"/>
                      <w:szCs w:val="24"/>
                    </w:rPr>
                  </w:pPr>
                  <w:r w:rsidRPr="00BA3383">
                    <w:rPr>
                      <w:rFonts w:asciiTheme="minorHAnsi" w:hAnsiTheme="minorHAnsi"/>
                      <w:color w:val="2C2C2C"/>
                      <w:sz w:val="24"/>
                      <w:szCs w:val="24"/>
                    </w:rPr>
                    <w:t>Δεν καθορίζει απευθείας τα επιτόκια που προσφέρουν οι εμπορικές τράπεζες στους πελάτες τους για δάνεια και καταθέσεις. Αυτά, αν και επηρεάζονται από τα επιτόκια πολιτικής του Ευρωσυστήματος, διαμορφώνονται από κάθε τράπεζα ξεχωριστά, λαμβάνοντας υπόψη τις συνθήκες της αγοράς, τον ανταγωνισμό και την πιστοληπτική αξιολόγηση του πελάτη.</w:t>
                  </w:r>
                </w:p>
              </w:tc>
            </w:tr>
            <w:tr w:rsidR="00DB0662" w:rsidRPr="00BA3383" w14:paraId="12A6F114" w14:textId="77777777" w:rsidTr="00BC3591">
              <w:tc>
                <w:tcPr>
                  <w:tcW w:w="4838" w:type="dxa"/>
                  <w:tcBorders>
                    <w:top w:val="single" w:sz="6" w:space="0" w:color="6E9EDA"/>
                    <w:left w:val="none" w:sz="0" w:space="0" w:color="FFFFFF"/>
                    <w:bottom w:val="none" w:sz="0" w:space="0" w:color="FFFFFF"/>
                    <w:right w:val="none" w:sz="0" w:space="0" w:color="FFFFFF"/>
                  </w:tcBorders>
                  <w:shd w:val="clear" w:color="auto" w:fill="F4F9FF"/>
                  <w:tcMar>
                    <w:top w:w="80" w:type="dxa"/>
                    <w:left w:w="150" w:type="dxa"/>
                    <w:bottom w:w="100" w:type="dxa"/>
                    <w:right w:w="150" w:type="dxa"/>
                  </w:tcMar>
                </w:tcPr>
                <w:p w14:paraId="1031D250" w14:textId="7C29C14C" w:rsidR="00DB0662" w:rsidRDefault="00DB0662" w:rsidP="00BC3591">
                  <w:pPr>
                    <w:pBdr>
                      <w:bottom w:val="single" w:sz="4" w:space="1" w:color="6E9EDA"/>
                    </w:pBdr>
                    <w:spacing w:before="60" w:after="60"/>
                    <w:rPr>
                      <w:rFonts w:asciiTheme="minorHAnsi" w:hAnsiTheme="minorHAnsi"/>
                      <w:b/>
                      <w:bCs/>
                      <w:color w:val="1B64B8"/>
                      <w:sz w:val="24"/>
                      <w:szCs w:val="24"/>
                    </w:rPr>
                  </w:pPr>
                  <w:r w:rsidRPr="00BA3383">
                    <w:rPr>
                      <w:rFonts w:ascii="Segoe UI Symbol" w:hAnsi="Segoe UI Symbol" w:cs="Segoe UI Symbol"/>
                      <w:b/>
                      <w:bCs/>
                      <w:color w:val="1B64B8"/>
                      <w:sz w:val="24"/>
                      <w:szCs w:val="24"/>
                    </w:rPr>
                    <w:t>✔</w:t>
                  </w:r>
                  <w:r w:rsidRPr="00BA3383">
                    <w:rPr>
                      <w:rFonts w:asciiTheme="minorHAnsi" w:hAnsiTheme="minorHAnsi"/>
                      <w:b/>
                      <w:bCs/>
                      <w:color w:val="1B64B8"/>
                      <w:sz w:val="24"/>
                      <w:szCs w:val="24"/>
                    </w:rPr>
                    <w:t xml:space="preserve"> Είναι η τράπεζα του Δημοσίου</w:t>
                  </w:r>
                </w:p>
                <w:p w14:paraId="5E9E18BA" w14:textId="77777777" w:rsidR="003B5333" w:rsidRPr="003B5333" w:rsidRDefault="003B5333" w:rsidP="00BC3591">
                  <w:pPr>
                    <w:pBdr>
                      <w:bottom w:val="single" w:sz="4" w:space="1" w:color="6E9EDA"/>
                    </w:pBdr>
                    <w:spacing w:before="60" w:after="60"/>
                    <w:rPr>
                      <w:rFonts w:asciiTheme="minorHAnsi" w:hAnsiTheme="minorHAnsi"/>
                      <w:b/>
                      <w:bCs/>
                      <w:color w:val="1B64B8"/>
                      <w:sz w:val="24"/>
                      <w:szCs w:val="24"/>
                    </w:rPr>
                  </w:pPr>
                </w:p>
                <w:p w14:paraId="625DF37E" w14:textId="77777777" w:rsidR="00DB0662" w:rsidRPr="00BA3383" w:rsidRDefault="00DB0662" w:rsidP="00BC3591">
                  <w:pPr>
                    <w:spacing w:before="60"/>
                    <w:rPr>
                      <w:rFonts w:asciiTheme="minorHAnsi" w:hAnsiTheme="minorHAnsi"/>
                      <w:sz w:val="24"/>
                      <w:szCs w:val="24"/>
                    </w:rPr>
                  </w:pPr>
                  <w:r w:rsidRPr="00BA3383">
                    <w:rPr>
                      <w:rFonts w:asciiTheme="minorHAnsi" w:hAnsiTheme="minorHAnsi"/>
                      <w:color w:val="2C2C2C"/>
                      <w:sz w:val="24"/>
                      <w:szCs w:val="24"/>
                    </w:rPr>
                    <w:t>Το Δημόσιο διατηρεί καταθέσεις στην Τράπεζα της Ελλάδος.</w:t>
                  </w:r>
                </w:p>
                <w:p w14:paraId="49531DF6" w14:textId="77777777" w:rsidR="00DB0662" w:rsidRPr="00BA3383" w:rsidRDefault="00DB0662" w:rsidP="00BC3591">
                  <w:pPr>
                    <w:spacing w:before="40"/>
                    <w:rPr>
                      <w:rFonts w:asciiTheme="minorHAnsi" w:hAnsiTheme="minorHAnsi"/>
                      <w:sz w:val="24"/>
                      <w:szCs w:val="24"/>
                    </w:rPr>
                  </w:pPr>
                  <w:r w:rsidRPr="00BA3383">
                    <w:rPr>
                      <w:rFonts w:asciiTheme="minorHAnsi" w:hAnsiTheme="minorHAnsi"/>
                      <w:color w:val="2C2C2C"/>
                      <w:sz w:val="24"/>
                      <w:szCs w:val="24"/>
                    </w:rPr>
                    <w:t>Η Τράπεζα πραγματοποιεί εισπράξεις και διενεργεί πληρωμές προς τελικούς δικαιούχους για λογαριασμό του Ελληνικού Δημοσίου.</w:t>
                  </w:r>
                </w:p>
              </w:tc>
              <w:tc>
                <w:tcPr>
                  <w:tcW w:w="40" w:type="dxa"/>
                  <w:tcBorders>
                    <w:top w:val="none" w:sz="0" w:space="0" w:color="FFFFFF"/>
                    <w:left w:val="none" w:sz="0" w:space="0" w:color="FFFFFF"/>
                    <w:bottom w:val="none" w:sz="0" w:space="0" w:color="FFFFFF"/>
                    <w:right w:val="none" w:sz="0" w:space="0" w:color="FFFFFF"/>
                  </w:tcBorders>
                </w:tcPr>
                <w:p w14:paraId="14B14382" w14:textId="77777777" w:rsidR="00DB0662" w:rsidRPr="00BA3383" w:rsidRDefault="00DB0662" w:rsidP="00BC3591">
                  <w:pPr>
                    <w:rPr>
                      <w:rFonts w:asciiTheme="minorHAnsi" w:hAnsiTheme="minorHAnsi"/>
                      <w:sz w:val="24"/>
                      <w:szCs w:val="24"/>
                    </w:rPr>
                  </w:pPr>
                </w:p>
              </w:tc>
              <w:tc>
                <w:tcPr>
                  <w:tcW w:w="4921" w:type="dxa"/>
                  <w:tcBorders>
                    <w:top w:val="single" w:sz="6" w:space="0" w:color="D78B85"/>
                    <w:left w:val="none" w:sz="0" w:space="0" w:color="FFFFFF"/>
                    <w:bottom w:val="none" w:sz="0" w:space="0" w:color="FFFFFF"/>
                    <w:right w:val="none" w:sz="0" w:space="0" w:color="FFFFFF"/>
                  </w:tcBorders>
                  <w:shd w:val="clear" w:color="auto" w:fill="FFF5F5"/>
                  <w:tcMar>
                    <w:top w:w="80" w:type="dxa"/>
                    <w:left w:w="150" w:type="dxa"/>
                    <w:bottom w:w="100" w:type="dxa"/>
                    <w:right w:w="150" w:type="dxa"/>
                  </w:tcMar>
                </w:tcPr>
                <w:p w14:paraId="6F777D3C" w14:textId="2BB79283" w:rsidR="00DB0662" w:rsidRPr="00BA3383" w:rsidRDefault="00BA3383" w:rsidP="00BC3591">
                  <w:pPr>
                    <w:pBdr>
                      <w:bottom w:val="single" w:sz="4" w:space="1" w:color="D78B85"/>
                    </w:pBdr>
                    <w:spacing w:before="60" w:after="60"/>
                    <w:rPr>
                      <w:rFonts w:asciiTheme="minorHAnsi" w:hAnsiTheme="minorHAnsi"/>
                      <w:sz w:val="24"/>
                      <w:szCs w:val="24"/>
                    </w:rPr>
                  </w:pPr>
                  <w:r>
                    <w:rPr>
                      <w:rFonts w:asciiTheme="minorHAnsi" w:hAnsiTheme="minorHAnsi" w:cs="Segoe UI Symbol"/>
                      <w:b/>
                      <w:bCs/>
                      <w:color w:val="BC473C"/>
                      <w:sz w:val="24"/>
                      <w:szCs w:val="24"/>
                    </w:rPr>
                    <w:t>⮾</w:t>
                  </w:r>
                  <w:r w:rsidR="00DB0662" w:rsidRPr="00BA3383">
                    <w:rPr>
                      <w:rFonts w:asciiTheme="minorHAnsi" w:hAnsiTheme="minorHAnsi"/>
                      <w:b/>
                      <w:bCs/>
                      <w:color w:val="BC473C"/>
                      <w:sz w:val="24"/>
                      <w:szCs w:val="24"/>
                    </w:rPr>
                    <w:t xml:space="preserve"> Δεν χρηματοδοτεί τις ανάγκες του Ελληνικού Δημοσίου</w:t>
                  </w:r>
                </w:p>
                <w:p w14:paraId="560C4AAD" w14:textId="77777777" w:rsidR="00DB0662" w:rsidRPr="00BA3383" w:rsidRDefault="00DB0662" w:rsidP="00BC3591">
                  <w:pPr>
                    <w:spacing w:before="60"/>
                    <w:rPr>
                      <w:rFonts w:asciiTheme="minorHAnsi" w:hAnsiTheme="minorHAnsi"/>
                      <w:sz w:val="24"/>
                      <w:szCs w:val="24"/>
                    </w:rPr>
                  </w:pPr>
                  <w:r w:rsidRPr="00BA3383">
                    <w:rPr>
                      <w:rFonts w:asciiTheme="minorHAnsi" w:hAnsiTheme="minorHAnsi"/>
                      <w:color w:val="2C2C2C"/>
                      <w:sz w:val="24"/>
                      <w:szCs w:val="24"/>
                    </w:rPr>
                    <w:t>Δεν δανείζει το κράτος, ούτε αγοράζει απευθείας κρατικά ομόλογα — δηλαδή δεν χρηματοδοτεί τις δαπάνες του Δημοσίου. Η απαγόρευση αυτή κατοχυρώνεται στο ευρωπαϊκό δίκαιο και αποτελεί θεμελιώδη αρχή του Ευρωσυστήματος.</w:t>
                  </w:r>
                </w:p>
                <w:p w14:paraId="3099ADA2" w14:textId="77777777" w:rsidR="00DB0662" w:rsidRPr="00BA3383" w:rsidRDefault="00DB0662" w:rsidP="00BC3591">
                  <w:pPr>
                    <w:spacing w:before="40"/>
                    <w:rPr>
                      <w:rFonts w:asciiTheme="minorHAnsi" w:hAnsiTheme="minorHAnsi"/>
                      <w:sz w:val="24"/>
                      <w:szCs w:val="24"/>
                    </w:rPr>
                  </w:pPr>
                  <w:r w:rsidRPr="00BA3383">
                    <w:rPr>
                      <w:rFonts w:asciiTheme="minorHAnsi" w:hAnsiTheme="minorHAnsi"/>
                      <w:color w:val="2C2C2C"/>
                      <w:sz w:val="24"/>
                      <w:szCs w:val="24"/>
                    </w:rPr>
                    <w:t>Αν η κεντρική τράπεζα μπορούσε να «τυπώνει» χρήμα για να καλύπτει τις ανάγκες του κράτους, η ποσότητα χρήματος στην οικονομία θα αυξανόταν ανεξέλεγκτα. Αυτό θα προκαλούσε πληθωρισμό, μειώνοντας την αγοραστική δύναμη των πολιτών και υπονομεύοντας την εμπιστοσύνη στο ευρώ.</w:t>
                  </w:r>
                </w:p>
              </w:tc>
            </w:tr>
            <w:tr w:rsidR="00DB0662" w:rsidRPr="00BA3383" w14:paraId="6571E9F8" w14:textId="77777777" w:rsidTr="00BC3591">
              <w:tc>
                <w:tcPr>
                  <w:tcW w:w="4838" w:type="dxa"/>
                  <w:tcBorders>
                    <w:top w:val="single" w:sz="6" w:space="0" w:color="6E9EDA"/>
                    <w:left w:val="none" w:sz="0" w:space="0" w:color="FFFFFF"/>
                    <w:bottom w:val="none" w:sz="0" w:space="0" w:color="FFFFFF"/>
                    <w:right w:val="none" w:sz="0" w:space="0" w:color="FFFFFF"/>
                  </w:tcBorders>
                  <w:shd w:val="clear" w:color="auto" w:fill="F4F9FF"/>
                  <w:tcMar>
                    <w:top w:w="80" w:type="dxa"/>
                    <w:left w:w="150" w:type="dxa"/>
                    <w:bottom w:w="100" w:type="dxa"/>
                    <w:right w:w="150" w:type="dxa"/>
                  </w:tcMar>
                </w:tcPr>
                <w:p w14:paraId="297B3BD9" w14:textId="77777777" w:rsidR="00DB0662" w:rsidRPr="00BA3383" w:rsidRDefault="00DB0662" w:rsidP="00BC3591">
                  <w:pPr>
                    <w:pBdr>
                      <w:bottom w:val="single" w:sz="4" w:space="1" w:color="6E9EDA"/>
                    </w:pBdr>
                    <w:spacing w:before="60" w:after="60"/>
                    <w:rPr>
                      <w:rFonts w:asciiTheme="minorHAnsi" w:hAnsiTheme="minorHAnsi"/>
                      <w:b/>
                      <w:bCs/>
                      <w:color w:val="1B64B8"/>
                      <w:sz w:val="24"/>
                      <w:szCs w:val="24"/>
                    </w:rPr>
                  </w:pPr>
                  <w:r w:rsidRPr="00BA3383">
                    <w:rPr>
                      <w:rFonts w:ascii="Segoe UI Symbol" w:hAnsi="Segoe UI Symbol" w:cs="Segoe UI Symbol"/>
                      <w:b/>
                      <w:bCs/>
                      <w:color w:val="1B64B8"/>
                      <w:sz w:val="24"/>
                      <w:szCs w:val="24"/>
                    </w:rPr>
                    <w:t>✔</w:t>
                  </w:r>
                  <w:r w:rsidRPr="00BA3383">
                    <w:rPr>
                      <w:rFonts w:asciiTheme="minorHAnsi" w:hAnsiTheme="minorHAnsi"/>
                      <w:b/>
                      <w:bCs/>
                      <w:color w:val="1B64B8"/>
                      <w:sz w:val="24"/>
                      <w:szCs w:val="24"/>
                    </w:rPr>
                    <w:t xml:space="preserve"> Διαχειρίζεται χρυσό και συνάλλαγμα</w:t>
                  </w:r>
                </w:p>
                <w:p w14:paraId="77B3B46B" w14:textId="77777777" w:rsidR="00DB0662" w:rsidRPr="00BA3383" w:rsidRDefault="00DB0662" w:rsidP="00BC3591">
                  <w:pPr>
                    <w:pBdr>
                      <w:bottom w:val="single" w:sz="4" w:space="1" w:color="6E9EDA"/>
                    </w:pBdr>
                    <w:spacing w:before="60" w:after="60"/>
                    <w:rPr>
                      <w:rFonts w:asciiTheme="minorHAnsi" w:hAnsiTheme="minorHAnsi"/>
                      <w:sz w:val="24"/>
                      <w:szCs w:val="24"/>
                    </w:rPr>
                  </w:pPr>
                </w:p>
                <w:p w14:paraId="441D5CBD" w14:textId="77777777" w:rsidR="00DB0662" w:rsidRPr="00BA3383" w:rsidRDefault="00DB0662" w:rsidP="00BC3591">
                  <w:pPr>
                    <w:spacing w:before="60"/>
                    <w:rPr>
                      <w:rFonts w:asciiTheme="minorHAnsi" w:hAnsiTheme="minorHAnsi"/>
                      <w:sz w:val="24"/>
                      <w:szCs w:val="24"/>
                    </w:rPr>
                  </w:pPr>
                  <w:r w:rsidRPr="00BA3383">
                    <w:rPr>
                      <w:rFonts w:asciiTheme="minorHAnsi" w:hAnsiTheme="minorHAnsi"/>
                      <w:color w:val="2C2C2C"/>
                      <w:sz w:val="24"/>
                      <w:szCs w:val="24"/>
                    </w:rPr>
                    <w:t>Κατέχει και διαχειρίζεται τα αποθέματα χρυσού και τα συναλλαγματικά διαθέσιμα της χώρας. Η διαχείριση αυτή γίνεται με γνώμονα την ασφάλεια των αποθεμάτων.</w:t>
                  </w:r>
                </w:p>
              </w:tc>
              <w:tc>
                <w:tcPr>
                  <w:tcW w:w="40" w:type="dxa"/>
                  <w:tcBorders>
                    <w:top w:val="none" w:sz="0" w:space="0" w:color="FFFFFF"/>
                    <w:left w:val="none" w:sz="0" w:space="0" w:color="FFFFFF"/>
                    <w:bottom w:val="none" w:sz="0" w:space="0" w:color="FFFFFF"/>
                    <w:right w:val="none" w:sz="0" w:space="0" w:color="FFFFFF"/>
                  </w:tcBorders>
                </w:tcPr>
                <w:p w14:paraId="357B9FD8" w14:textId="77777777" w:rsidR="00DB0662" w:rsidRPr="00BA3383" w:rsidRDefault="00DB0662" w:rsidP="00BC3591">
                  <w:pPr>
                    <w:rPr>
                      <w:rFonts w:asciiTheme="minorHAnsi" w:hAnsiTheme="minorHAnsi"/>
                      <w:sz w:val="24"/>
                      <w:szCs w:val="24"/>
                    </w:rPr>
                  </w:pPr>
                </w:p>
              </w:tc>
              <w:tc>
                <w:tcPr>
                  <w:tcW w:w="4921" w:type="dxa"/>
                  <w:tcBorders>
                    <w:top w:val="single" w:sz="6" w:space="0" w:color="D78B85"/>
                    <w:left w:val="none" w:sz="0" w:space="0" w:color="FFFFFF"/>
                    <w:bottom w:val="none" w:sz="0" w:space="0" w:color="FFFFFF"/>
                    <w:right w:val="none" w:sz="0" w:space="0" w:color="FFFFFF"/>
                  </w:tcBorders>
                  <w:shd w:val="clear" w:color="auto" w:fill="FFF5F5"/>
                  <w:tcMar>
                    <w:top w:w="80" w:type="dxa"/>
                    <w:left w:w="150" w:type="dxa"/>
                    <w:bottom w:w="100" w:type="dxa"/>
                    <w:right w:w="150" w:type="dxa"/>
                  </w:tcMar>
                </w:tcPr>
                <w:p w14:paraId="62AFEB7F" w14:textId="4190DA89" w:rsidR="00DB0662" w:rsidRDefault="00BA3383" w:rsidP="00BC3591">
                  <w:pPr>
                    <w:pBdr>
                      <w:bottom w:val="single" w:sz="4" w:space="1" w:color="D78B85"/>
                    </w:pBdr>
                    <w:spacing w:before="60" w:after="60"/>
                    <w:rPr>
                      <w:rFonts w:asciiTheme="minorHAnsi" w:hAnsiTheme="minorHAnsi"/>
                      <w:b/>
                      <w:bCs/>
                      <w:color w:val="BC473C"/>
                      <w:sz w:val="24"/>
                      <w:szCs w:val="24"/>
                    </w:rPr>
                  </w:pPr>
                  <w:r>
                    <w:rPr>
                      <w:rFonts w:asciiTheme="minorHAnsi" w:hAnsiTheme="minorHAnsi" w:cs="Segoe UI Symbol"/>
                      <w:b/>
                      <w:bCs/>
                      <w:color w:val="BC473C"/>
                      <w:sz w:val="24"/>
                      <w:szCs w:val="24"/>
                    </w:rPr>
                    <w:t xml:space="preserve">⮾ </w:t>
                  </w:r>
                  <w:r w:rsidR="00DB0662" w:rsidRPr="00BA3383">
                    <w:rPr>
                      <w:rFonts w:asciiTheme="minorHAnsi" w:hAnsiTheme="minorHAnsi"/>
                      <w:b/>
                      <w:bCs/>
                      <w:color w:val="BC473C"/>
                      <w:sz w:val="24"/>
                      <w:szCs w:val="24"/>
                    </w:rPr>
                    <w:t>Δεν είναι κερδοσκοπικός οργανισμός</w:t>
                  </w:r>
                </w:p>
                <w:p w14:paraId="796F1AD6" w14:textId="77777777" w:rsidR="00BA3383" w:rsidRPr="00BA3383" w:rsidRDefault="00BA3383" w:rsidP="00BC3591">
                  <w:pPr>
                    <w:pBdr>
                      <w:bottom w:val="single" w:sz="4" w:space="1" w:color="D78B85"/>
                    </w:pBdr>
                    <w:spacing w:before="60" w:after="60"/>
                    <w:rPr>
                      <w:rFonts w:asciiTheme="minorHAnsi" w:hAnsiTheme="minorHAnsi"/>
                      <w:sz w:val="24"/>
                      <w:szCs w:val="24"/>
                    </w:rPr>
                  </w:pPr>
                </w:p>
                <w:p w14:paraId="11EA52A9" w14:textId="77777777" w:rsidR="00DB0662" w:rsidRPr="00BA3383" w:rsidRDefault="00DB0662" w:rsidP="00BC3591">
                  <w:pPr>
                    <w:spacing w:before="60"/>
                    <w:rPr>
                      <w:rFonts w:asciiTheme="minorHAnsi" w:hAnsiTheme="minorHAnsi"/>
                      <w:sz w:val="24"/>
                      <w:szCs w:val="24"/>
                    </w:rPr>
                  </w:pPr>
                  <w:r w:rsidRPr="00BA3383">
                    <w:rPr>
                      <w:rFonts w:asciiTheme="minorHAnsi" w:hAnsiTheme="minorHAnsi"/>
                      <w:color w:val="2C2C2C"/>
                      <w:sz w:val="24"/>
                      <w:szCs w:val="24"/>
                    </w:rPr>
                    <w:t>Δεν λειτουργεί με σκοπό το κέρδος, αλλά υπηρετεί το δημόσιο συμφέρον. Σύμφωνα με το καταστατικό της, τα κέρδη της αποδίδονται στο Ελληνικό Δημόσιο προς όφελος του συνόλου των πολιτών.</w:t>
                  </w:r>
                </w:p>
              </w:tc>
            </w:tr>
          </w:tbl>
          <w:p w14:paraId="5E29C15C" w14:textId="77777777" w:rsidR="00DB0662" w:rsidRPr="00BA3383" w:rsidRDefault="00DB0662" w:rsidP="00BC3591">
            <w:pPr>
              <w:spacing w:before="280" w:after="120"/>
              <w:rPr>
                <w:b/>
                <w:color w:val="003087"/>
                <w:sz w:val="24"/>
                <w:szCs w:val="24"/>
                <w:lang w:val="el-GR"/>
              </w:rPr>
            </w:pPr>
          </w:p>
        </w:tc>
      </w:tr>
    </w:tbl>
    <w:p w14:paraId="1811838F" w14:textId="77777777" w:rsidR="00DB0662" w:rsidRDefault="00DB0662" w:rsidP="00596AF6">
      <w:pPr>
        <w:rPr>
          <w:rFonts w:asciiTheme="minorHAnsi" w:hAnsiTheme="minorHAnsi"/>
          <w:b/>
          <w:color w:val="003087"/>
          <w:sz w:val="28"/>
        </w:rPr>
      </w:pPr>
    </w:p>
    <w:p w14:paraId="191C310C" w14:textId="77777777" w:rsidR="00DB0662" w:rsidRDefault="00DB0662">
      <w:pPr>
        <w:rPr>
          <w:rFonts w:asciiTheme="minorHAnsi" w:hAnsiTheme="minorHAnsi"/>
          <w:b/>
          <w:color w:val="003087"/>
          <w:sz w:val="28"/>
        </w:rPr>
      </w:pPr>
      <w:r>
        <w:rPr>
          <w:rFonts w:asciiTheme="minorHAnsi" w:hAnsiTheme="minorHAnsi"/>
          <w:b/>
          <w:color w:val="003087"/>
          <w:sz w:val="28"/>
        </w:rPr>
        <w:br w:type="page"/>
      </w:r>
    </w:p>
    <w:p w14:paraId="186839F8" w14:textId="72F0C0AA" w:rsidR="003B44BC" w:rsidRPr="00F70CFE" w:rsidRDefault="00D91B63" w:rsidP="00596AF6">
      <w:pPr>
        <w:rPr>
          <w:rFonts w:asciiTheme="minorHAnsi" w:hAnsiTheme="minorHAnsi"/>
        </w:rPr>
      </w:pPr>
      <w:r w:rsidRPr="00F70CFE">
        <w:rPr>
          <w:rFonts w:asciiTheme="minorHAnsi" w:hAnsiTheme="minorHAnsi"/>
          <w:b/>
          <w:color w:val="003087"/>
          <w:sz w:val="28"/>
        </w:rPr>
        <w:lastRenderedPageBreak/>
        <w:t>Θέλω να μάθω περισσότερα</w:t>
      </w:r>
    </w:p>
    <w:p w14:paraId="71849C75" w14:textId="77777777" w:rsidR="003B44BC" w:rsidRPr="00F70CFE" w:rsidRDefault="003B44BC">
      <w:pPr>
        <w:spacing w:before="60"/>
        <w:rPr>
          <w:rFonts w:asciiTheme="minorHAnsi" w:hAnsiTheme="minorHAnsi"/>
        </w:rPr>
      </w:pPr>
    </w:p>
    <w:tbl>
      <w:tblPr>
        <w:tblW w:w="992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35"/>
        <w:gridCol w:w="3182"/>
        <w:gridCol w:w="3906"/>
      </w:tblGrid>
      <w:tr w:rsidR="00137EC3" w:rsidRPr="005C1969" w14:paraId="71335AEF" w14:textId="77777777" w:rsidTr="00990792">
        <w:tc>
          <w:tcPr>
            <w:tcW w:w="2835" w:type="dxa"/>
            <w:tcBorders>
              <w:top w:val="single" w:sz="1" w:space="0" w:color="C5D4EC"/>
              <w:left w:val="single" w:sz="1" w:space="0" w:color="C5D4EC"/>
              <w:bottom w:val="single" w:sz="1" w:space="0" w:color="C5D4EC"/>
              <w:right w:val="single" w:sz="1" w:space="0" w:color="C5D4EC"/>
            </w:tcBorders>
            <w:shd w:val="clear" w:color="auto" w:fill="E8EEF7"/>
            <w:tcMar>
              <w:top w:w="120" w:type="dxa"/>
              <w:left w:w="160" w:type="dxa"/>
              <w:bottom w:w="100" w:type="dxa"/>
              <w:right w:w="120" w:type="dxa"/>
            </w:tcMar>
          </w:tcPr>
          <w:p w14:paraId="07732BA5" w14:textId="77777777" w:rsidR="003B44BC" w:rsidRPr="006809FE" w:rsidRDefault="00C12D14">
            <w:pPr>
              <w:spacing w:before="60" w:after="40"/>
              <w:rPr>
                <w:rFonts w:asciiTheme="minorHAnsi" w:hAnsiTheme="minorHAnsi"/>
                <w:sz w:val="22"/>
                <w:szCs w:val="22"/>
              </w:rPr>
            </w:pPr>
            <w:r w:rsidRPr="006809FE">
              <w:rPr>
                <w:rFonts w:ascii="Segoe UI Emoji" w:hAnsi="Segoe UI Emoji"/>
                <w:b/>
                <w:color w:val="003087"/>
                <w:sz w:val="22"/>
                <w:szCs w:val="22"/>
              </w:rPr>
              <w:t>🌐</w:t>
            </w:r>
            <w:r w:rsidRPr="006809FE">
              <w:rPr>
                <w:rFonts w:asciiTheme="minorHAnsi" w:hAnsiTheme="minorHAnsi"/>
                <w:b/>
                <w:color w:val="003087"/>
                <w:sz w:val="22"/>
                <w:szCs w:val="22"/>
              </w:rPr>
              <w:t xml:space="preserve"> </w:t>
            </w:r>
            <w:proofErr w:type="spellStart"/>
            <w:r w:rsidRPr="006809FE">
              <w:rPr>
                <w:rFonts w:asciiTheme="minorHAnsi" w:hAnsiTheme="minorHAnsi"/>
                <w:b/>
                <w:color w:val="003087"/>
                <w:sz w:val="22"/>
                <w:szCs w:val="22"/>
              </w:rPr>
              <w:t>Ιστότοπος</w:t>
            </w:r>
            <w:proofErr w:type="spellEnd"/>
          </w:p>
          <w:p w14:paraId="685E0539" w14:textId="77777777" w:rsidR="003B44BC" w:rsidRPr="006809FE" w:rsidRDefault="00C12D14">
            <w:pPr>
              <w:spacing w:before="60" w:after="80"/>
              <w:jc w:val="both"/>
              <w:rPr>
                <w:rFonts w:asciiTheme="minorHAnsi" w:hAnsiTheme="minorHAnsi"/>
                <w:sz w:val="22"/>
                <w:szCs w:val="22"/>
              </w:rPr>
            </w:pPr>
            <w:r w:rsidRPr="006809FE">
              <w:rPr>
                <w:rFonts w:asciiTheme="minorHAnsi" w:hAnsiTheme="minorHAnsi"/>
                <w:color w:val="333333"/>
                <w:sz w:val="22"/>
                <w:szCs w:val="22"/>
              </w:rPr>
              <w:t>www.bankofgreece.gr</w:t>
            </w:r>
          </w:p>
        </w:tc>
        <w:tc>
          <w:tcPr>
            <w:tcW w:w="3182" w:type="dxa"/>
            <w:tcBorders>
              <w:top w:val="single" w:sz="1" w:space="0" w:color="C5D4EC"/>
              <w:left w:val="single" w:sz="1" w:space="0" w:color="C5D4EC"/>
              <w:bottom w:val="single" w:sz="1" w:space="0" w:color="C5D4EC"/>
              <w:right w:val="single" w:sz="1" w:space="0" w:color="C5D4EC"/>
            </w:tcBorders>
            <w:shd w:val="clear" w:color="auto" w:fill="E8EEF7"/>
            <w:tcMar>
              <w:top w:w="120" w:type="dxa"/>
              <w:left w:w="120" w:type="dxa"/>
              <w:bottom w:w="100" w:type="dxa"/>
              <w:right w:w="120" w:type="dxa"/>
            </w:tcMar>
          </w:tcPr>
          <w:p w14:paraId="79FB42F4" w14:textId="77777777" w:rsidR="003B44BC" w:rsidRPr="006809FE" w:rsidRDefault="00C12D14">
            <w:pPr>
              <w:spacing w:before="60" w:after="40"/>
              <w:rPr>
                <w:rFonts w:asciiTheme="minorHAnsi" w:hAnsiTheme="minorHAnsi"/>
                <w:sz w:val="22"/>
                <w:szCs w:val="22"/>
              </w:rPr>
            </w:pPr>
            <w:r w:rsidRPr="006809FE">
              <w:rPr>
                <w:rFonts w:ascii="Segoe UI Emoji" w:hAnsi="Segoe UI Emoji"/>
                <w:b/>
                <w:color w:val="003087"/>
                <w:sz w:val="22"/>
                <w:szCs w:val="22"/>
              </w:rPr>
              <w:t>📚</w:t>
            </w:r>
            <w:r w:rsidRPr="006809FE">
              <w:rPr>
                <w:rFonts w:asciiTheme="minorHAnsi" w:hAnsiTheme="minorHAnsi"/>
                <w:b/>
                <w:color w:val="003087"/>
                <w:sz w:val="22"/>
                <w:szCs w:val="22"/>
              </w:rPr>
              <w:t xml:space="preserve"> Εκπαιδευτικό υλικό</w:t>
            </w:r>
          </w:p>
          <w:p w14:paraId="37449662" w14:textId="68DBAA10" w:rsidR="003B44BC" w:rsidRPr="006809FE" w:rsidRDefault="00B02581">
            <w:pPr>
              <w:spacing w:before="60" w:after="80"/>
              <w:jc w:val="both"/>
              <w:rPr>
                <w:rFonts w:asciiTheme="minorHAnsi" w:hAnsiTheme="minorHAnsi"/>
                <w:sz w:val="22"/>
                <w:szCs w:val="22"/>
              </w:rPr>
            </w:pPr>
            <w:r>
              <w:rPr>
                <w:rFonts w:asciiTheme="minorHAnsi" w:hAnsiTheme="minorHAnsi"/>
                <w:sz w:val="22"/>
                <w:szCs w:val="22"/>
              </w:rPr>
              <w:t>Εκδόσεις</w:t>
            </w:r>
            <w:r w:rsidR="00990792">
              <w:t xml:space="preserve"> </w:t>
            </w:r>
            <w:r w:rsidR="00990792" w:rsidRPr="00990792">
              <w:rPr>
                <w:rFonts w:asciiTheme="minorHAnsi" w:hAnsiTheme="minorHAnsi"/>
                <w:sz w:val="22"/>
                <w:szCs w:val="22"/>
              </w:rPr>
              <w:t>Κέντρο</w:t>
            </w:r>
            <w:r w:rsidR="00990792">
              <w:rPr>
                <w:rFonts w:asciiTheme="minorHAnsi" w:hAnsiTheme="minorHAnsi"/>
                <w:sz w:val="22"/>
                <w:szCs w:val="22"/>
              </w:rPr>
              <w:t xml:space="preserve">υ </w:t>
            </w:r>
            <w:r w:rsidR="00990792" w:rsidRPr="00990792">
              <w:rPr>
                <w:rFonts w:asciiTheme="minorHAnsi" w:hAnsiTheme="minorHAnsi"/>
                <w:sz w:val="22"/>
                <w:szCs w:val="22"/>
              </w:rPr>
              <w:t xml:space="preserve">Πολιτισμού, Έρευνας και Τεκμηρίωσης </w:t>
            </w:r>
            <w:r w:rsidR="00FF3517">
              <w:rPr>
                <w:rFonts w:asciiTheme="minorHAnsi" w:hAnsiTheme="minorHAnsi"/>
                <w:sz w:val="22"/>
                <w:szCs w:val="22"/>
              </w:rPr>
              <w:t xml:space="preserve">της </w:t>
            </w:r>
            <w:r w:rsidR="00990792" w:rsidRPr="00990792">
              <w:rPr>
                <w:rFonts w:asciiTheme="minorHAnsi" w:hAnsiTheme="minorHAnsi"/>
                <w:sz w:val="22"/>
                <w:szCs w:val="22"/>
              </w:rPr>
              <w:t>Τράπεζας της Ελλάδος</w:t>
            </w:r>
          </w:p>
        </w:tc>
        <w:tc>
          <w:tcPr>
            <w:tcW w:w="3906" w:type="dxa"/>
            <w:tcBorders>
              <w:top w:val="single" w:sz="1" w:space="0" w:color="C5D4EC"/>
              <w:left w:val="single" w:sz="1" w:space="0" w:color="C5D4EC"/>
              <w:bottom w:val="single" w:sz="1" w:space="0" w:color="C5D4EC"/>
              <w:right w:val="single" w:sz="1" w:space="0" w:color="C5D4EC"/>
            </w:tcBorders>
            <w:shd w:val="clear" w:color="auto" w:fill="E8EEF7"/>
            <w:tcMar>
              <w:top w:w="120" w:type="dxa"/>
              <w:left w:w="120" w:type="dxa"/>
              <w:bottom w:w="100" w:type="dxa"/>
              <w:right w:w="160" w:type="dxa"/>
            </w:tcMar>
          </w:tcPr>
          <w:p w14:paraId="2F4B1C95" w14:textId="77777777" w:rsidR="00F4080C" w:rsidRPr="006809FE" w:rsidRDefault="00C12D14" w:rsidP="00F4080C">
            <w:pPr>
              <w:spacing w:before="60" w:after="40"/>
              <w:rPr>
                <w:rFonts w:asciiTheme="minorHAnsi" w:hAnsiTheme="minorHAnsi"/>
                <w:b/>
                <w:color w:val="003087"/>
                <w:sz w:val="22"/>
                <w:szCs w:val="22"/>
              </w:rPr>
            </w:pPr>
            <w:r w:rsidRPr="006809FE">
              <w:rPr>
                <w:rFonts w:ascii="Segoe UI Emoji" w:hAnsi="Segoe UI Emoji" w:cs="Segoe UI Emoji"/>
                <w:b/>
                <w:bCs/>
                <w:color w:val="003087"/>
                <w:sz w:val="22"/>
                <w:szCs w:val="22"/>
              </w:rPr>
              <w:t>📄</w:t>
            </w:r>
            <w:r w:rsidRPr="006809FE">
              <w:rPr>
                <w:rFonts w:asciiTheme="minorHAnsi" w:hAnsiTheme="minorHAnsi"/>
                <w:b/>
                <w:color w:val="003087"/>
                <w:sz w:val="22"/>
                <w:szCs w:val="22"/>
              </w:rPr>
              <w:t xml:space="preserve"> </w:t>
            </w:r>
            <w:r w:rsidR="00F4080C" w:rsidRPr="006809FE">
              <w:rPr>
                <w:rFonts w:asciiTheme="minorHAnsi" w:hAnsiTheme="minorHAnsi"/>
                <w:b/>
                <w:color w:val="003087"/>
                <w:sz w:val="22"/>
                <w:szCs w:val="22"/>
              </w:rPr>
              <w:t xml:space="preserve">Εκδόσεις </w:t>
            </w:r>
          </w:p>
          <w:p w14:paraId="02B6F8F9" w14:textId="3F8C20FE" w:rsidR="003B44BC" w:rsidRPr="006809FE" w:rsidRDefault="00C12D14" w:rsidP="00F4080C">
            <w:pPr>
              <w:spacing w:before="60" w:after="40"/>
              <w:rPr>
                <w:rFonts w:asciiTheme="minorHAnsi" w:hAnsiTheme="minorHAnsi"/>
                <w:color w:val="333333"/>
                <w:sz w:val="22"/>
                <w:szCs w:val="22"/>
              </w:rPr>
            </w:pPr>
            <w:r w:rsidRPr="006809FE">
              <w:rPr>
                <w:rFonts w:asciiTheme="minorHAnsi" w:hAnsiTheme="minorHAnsi"/>
                <w:color w:val="333333"/>
                <w:sz w:val="22"/>
                <w:szCs w:val="22"/>
              </w:rPr>
              <w:t>Έκθεση</w:t>
            </w:r>
            <w:r w:rsidR="00F4080C" w:rsidRPr="006809FE">
              <w:rPr>
                <w:rFonts w:asciiTheme="minorHAnsi" w:hAnsiTheme="minorHAnsi"/>
                <w:color w:val="333333"/>
                <w:sz w:val="22"/>
                <w:szCs w:val="22"/>
              </w:rPr>
              <w:t xml:space="preserve"> του Διοικητή</w:t>
            </w:r>
            <w:r w:rsidRPr="006809FE">
              <w:rPr>
                <w:rFonts w:asciiTheme="minorHAnsi" w:hAnsiTheme="minorHAnsi"/>
                <w:color w:val="333333"/>
                <w:sz w:val="22"/>
                <w:szCs w:val="22"/>
              </w:rPr>
              <w:t xml:space="preserve">, </w:t>
            </w:r>
            <w:r w:rsidR="00F4080C" w:rsidRPr="006809FE">
              <w:rPr>
                <w:rFonts w:asciiTheme="minorHAnsi" w:hAnsiTheme="minorHAnsi"/>
                <w:color w:val="333333"/>
                <w:sz w:val="22"/>
                <w:szCs w:val="22"/>
              </w:rPr>
              <w:t xml:space="preserve">Έκθεση </w:t>
            </w:r>
            <w:r w:rsidRPr="006809FE">
              <w:rPr>
                <w:rFonts w:asciiTheme="minorHAnsi" w:hAnsiTheme="minorHAnsi"/>
                <w:color w:val="333333"/>
                <w:sz w:val="22"/>
                <w:szCs w:val="22"/>
              </w:rPr>
              <w:t>Νομισματική</w:t>
            </w:r>
            <w:r w:rsidR="00F4080C" w:rsidRPr="006809FE">
              <w:rPr>
                <w:rFonts w:asciiTheme="minorHAnsi" w:hAnsiTheme="minorHAnsi"/>
                <w:color w:val="333333"/>
                <w:sz w:val="22"/>
                <w:szCs w:val="22"/>
              </w:rPr>
              <w:t>ς</w:t>
            </w:r>
            <w:r w:rsidRPr="006809FE">
              <w:rPr>
                <w:rFonts w:asciiTheme="minorHAnsi" w:hAnsiTheme="minorHAnsi"/>
                <w:color w:val="333333"/>
                <w:sz w:val="22"/>
                <w:szCs w:val="22"/>
              </w:rPr>
              <w:t xml:space="preserve"> Πολιτική</w:t>
            </w:r>
            <w:r w:rsidR="00F4080C" w:rsidRPr="006809FE">
              <w:rPr>
                <w:rFonts w:asciiTheme="minorHAnsi" w:hAnsiTheme="minorHAnsi"/>
                <w:color w:val="333333"/>
                <w:sz w:val="22"/>
                <w:szCs w:val="22"/>
              </w:rPr>
              <w:t>ς</w:t>
            </w:r>
            <w:r w:rsidRPr="006809FE">
              <w:rPr>
                <w:rFonts w:asciiTheme="minorHAnsi" w:hAnsiTheme="minorHAnsi"/>
                <w:color w:val="333333"/>
                <w:sz w:val="22"/>
                <w:szCs w:val="22"/>
              </w:rPr>
              <w:t xml:space="preserve">, </w:t>
            </w:r>
            <w:r w:rsidR="00F4080C" w:rsidRPr="006809FE">
              <w:rPr>
                <w:rFonts w:asciiTheme="minorHAnsi" w:hAnsiTheme="minorHAnsi"/>
                <w:color w:val="333333"/>
                <w:sz w:val="22"/>
                <w:szCs w:val="22"/>
                <w:lang w:val="en-US"/>
              </w:rPr>
              <w:t>Inflation</w:t>
            </w:r>
            <w:r w:rsidR="00F4080C" w:rsidRPr="006809FE">
              <w:rPr>
                <w:rFonts w:asciiTheme="minorHAnsi" w:hAnsiTheme="minorHAnsi"/>
                <w:color w:val="333333"/>
                <w:sz w:val="22"/>
                <w:szCs w:val="22"/>
              </w:rPr>
              <w:t xml:space="preserve"> </w:t>
            </w:r>
            <w:r w:rsidR="00F4080C" w:rsidRPr="006809FE">
              <w:rPr>
                <w:rFonts w:asciiTheme="minorHAnsi" w:hAnsiTheme="minorHAnsi"/>
                <w:color w:val="333333"/>
                <w:sz w:val="22"/>
                <w:szCs w:val="22"/>
                <w:lang w:val="en-US"/>
              </w:rPr>
              <w:t>Monitor</w:t>
            </w:r>
            <w:r w:rsidR="00F4080C" w:rsidRPr="006809FE">
              <w:rPr>
                <w:rFonts w:asciiTheme="minorHAnsi" w:hAnsiTheme="minorHAnsi"/>
                <w:color w:val="333333"/>
                <w:sz w:val="22"/>
                <w:szCs w:val="22"/>
              </w:rPr>
              <w:t xml:space="preserve">, </w:t>
            </w:r>
            <w:r w:rsidR="00F4080C" w:rsidRPr="006809FE">
              <w:rPr>
                <w:rFonts w:asciiTheme="minorHAnsi" w:hAnsiTheme="minorHAnsi"/>
                <w:color w:val="333333"/>
                <w:sz w:val="22"/>
                <w:szCs w:val="22"/>
                <w:lang w:val="en-US"/>
              </w:rPr>
              <w:t>Note</w:t>
            </w:r>
            <w:r w:rsidR="00F4080C" w:rsidRPr="006809FE">
              <w:rPr>
                <w:rFonts w:asciiTheme="minorHAnsi" w:hAnsiTheme="minorHAnsi"/>
                <w:color w:val="333333"/>
                <w:sz w:val="22"/>
                <w:szCs w:val="22"/>
              </w:rPr>
              <w:t xml:space="preserve"> </w:t>
            </w:r>
            <w:r w:rsidR="00F4080C" w:rsidRPr="006809FE">
              <w:rPr>
                <w:rFonts w:asciiTheme="minorHAnsi" w:hAnsiTheme="minorHAnsi"/>
                <w:color w:val="333333"/>
                <w:sz w:val="22"/>
                <w:szCs w:val="22"/>
                <w:lang w:val="en-US"/>
              </w:rPr>
              <w:t>on</w:t>
            </w:r>
            <w:r w:rsidR="00F4080C" w:rsidRPr="006809FE">
              <w:rPr>
                <w:rFonts w:asciiTheme="minorHAnsi" w:hAnsiTheme="minorHAnsi"/>
                <w:color w:val="333333"/>
                <w:sz w:val="22"/>
                <w:szCs w:val="22"/>
              </w:rPr>
              <w:t xml:space="preserve"> </w:t>
            </w:r>
            <w:r w:rsidR="00F4080C" w:rsidRPr="006809FE">
              <w:rPr>
                <w:rFonts w:asciiTheme="minorHAnsi" w:hAnsiTheme="minorHAnsi"/>
                <w:color w:val="333333"/>
                <w:sz w:val="22"/>
                <w:szCs w:val="22"/>
                <w:lang w:val="en-US"/>
              </w:rPr>
              <w:t>the</w:t>
            </w:r>
            <w:r w:rsidR="00F4080C" w:rsidRPr="006809FE">
              <w:rPr>
                <w:rFonts w:asciiTheme="minorHAnsi" w:hAnsiTheme="minorHAnsi"/>
                <w:color w:val="333333"/>
                <w:sz w:val="22"/>
                <w:szCs w:val="22"/>
              </w:rPr>
              <w:t xml:space="preserve"> </w:t>
            </w:r>
            <w:r w:rsidR="00F4080C" w:rsidRPr="006809FE">
              <w:rPr>
                <w:rFonts w:asciiTheme="minorHAnsi" w:hAnsiTheme="minorHAnsi"/>
                <w:color w:val="333333"/>
                <w:sz w:val="22"/>
                <w:szCs w:val="22"/>
                <w:lang w:val="en-US"/>
              </w:rPr>
              <w:t>Greek</w:t>
            </w:r>
            <w:r w:rsidR="00F4080C" w:rsidRPr="006809FE">
              <w:rPr>
                <w:rFonts w:asciiTheme="minorHAnsi" w:hAnsiTheme="minorHAnsi"/>
                <w:color w:val="333333"/>
                <w:sz w:val="22"/>
                <w:szCs w:val="22"/>
              </w:rPr>
              <w:t xml:space="preserve"> </w:t>
            </w:r>
            <w:r w:rsidR="00F4080C" w:rsidRPr="006809FE">
              <w:rPr>
                <w:rFonts w:asciiTheme="minorHAnsi" w:hAnsiTheme="minorHAnsi"/>
                <w:color w:val="333333"/>
                <w:sz w:val="22"/>
                <w:szCs w:val="22"/>
                <w:lang w:val="en-US"/>
              </w:rPr>
              <w:t>Economy</w:t>
            </w:r>
            <w:r w:rsidR="00F4080C" w:rsidRPr="006809FE">
              <w:rPr>
                <w:rFonts w:asciiTheme="minorHAnsi" w:hAnsiTheme="minorHAnsi"/>
                <w:color w:val="333333"/>
                <w:sz w:val="22"/>
                <w:szCs w:val="22"/>
              </w:rPr>
              <w:t xml:space="preserve"> </w:t>
            </w:r>
          </w:p>
          <w:p w14:paraId="0D39DBBF" w14:textId="44E8CCFB" w:rsidR="00F4080C" w:rsidRPr="006809FE" w:rsidRDefault="00F4080C" w:rsidP="00F4080C">
            <w:pPr>
              <w:spacing w:before="60" w:after="40"/>
              <w:rPr>
                <w:rFonts w:asciiTheme="minorHAnsi" w:hAnsiTheme="minorHAnsi"/>
                <w:color w:val="333333"/>
                <w:sz w:val="22"/>
                <w:szCs w:val="22"/>
              </w:rPr>
            </w:pPr>
            <w:r w:rsidRPr="006809FE">
              <w:rPr>
                <w:rFonts w:asciiTheme="minorHAnsi" w:hAnsiTheme="minorHAnsi"/>
                <w:color w:val="333333"/>
                <w:sz w:val="22"/>
                <w:szCs w:val="22"/>
              </w:rPr>
              <w:t>Εκδόσεις Διεύθυνσης Οικονομικής Ανάλυσης και Μελετών</w:t>
            </w:r>
          </w:p>
          <w:p w14:paraId="7AAD9B7F" w14:textId="20CA75F2" w:rsidR="00F4080C" w:rsidRPr="006809FE" w:rsidRDefault="00F4080C" w:rsidP="00F4080C">
            <w:pPr>
              <w:spacing w:before="60" w:after="40"/>
              <w:rPr>
                <w:rFonts w:asciiTheme="minorHAnsi" w:hAnsiTheme="minorHAnsi"/>
                <w:color w:val="333333"/>
                <w:sz w:val="22"/>
                <w:szCs w:val="22"/>
              </w:rPr>
            </w:pPr>
          </w:p>
        </w:tc>
      </w:tr>
      <w:tr w:rsidR="000D1A30" w:rsidRPr="005C1969" w14:paraId="6F4367A0" w14:textId="77777777" w:rsidTr="007D0A37">
        <w:tc>
          <w:tcPr>
            <w:tcW w:w="9923" w:type="dxa"/>
            <w:gridSpan w:val="3"/>
            <w:tcBorders>
              <w:top w:val="none" w:sz="0" w:space="0" w:color="FFFFFF"/>
              <w:left w:val="none" w:sz="0" w:space="0" w:color="FFFFFF"/>
              <w:bottom w:val="none" w:sz="0" w:space="0" w:color="FFFFFF"/>
              <w:right w:val="none" w:sz="0" w:space="0" w:color="FFFFFF"/>
            </w:tcBorders>
            <w:shd w:val="clear" w:color="auto" w:fill="003087"/>
            <w:tcMar>
              <w:top w:w="40" w:type="dxa"/>
              <w:left w:w="200" w:type="dxa"/>
              <w:bottom w:w="40" w:type="dxa"/>
              <w:right w:w="200" w:type="dxa"/>
            </w:tcMar>
          </w:tcPr>
          <w:p w14:paraId="28BF15E2" w14:textId="77777777" w:rsidR="003B44BC" w:rsidRPr="006809FE" w:rsidRDefault="00C12D14">
            <w:pPr>
              <w:spacing w:before="160" w:after="60"/>
              <w:jc w:val="center"/>
              <w:rPr>
                <w:rFonts w:asciiTheme="minorHAnsi" w:hAnsiTheme="minorHAnsi"/>
                <w:b/>
                <w:color w:val="FFFFFF"/>
                <w:sz w:val="24"/>
                <w:szCs w:val="24"/>
              </w:rPr>
            </w:pPr>
            <w:r w:rsidRPr="006809FE">
              <w:rPr>
                <w:rFonts w:asciiTheme="minorHAnsi" w:hAnsiTheme="minorHAnsi"/>
                <w:b/>
                <w:color w:val="FFFFFF"/>
                <w:sz w:val="24"/>
                <w:szCs w:val="24"/>
              </w:rPr>
              <w:t>Τράπεζα της Ελλάδος</w:t>
            </w:r>
          </w:p>
          <w:p w14:paraId="681834CD" w14:textId="704CC28E" w:rsidR="00610EA1" w:rsidRPr="006809FE" w:rsidRDefault="00F4080C" w:rsidP="006809FE">
            <w:pPr>
              <w:jc w:val="center"/>
              <w:rPr>
                <w:rFonts w:asciiTheme="minorHAnsi" w:hAnsiTheme="minorHAnsi"/>
                <w:sz w:val="22"/>
                <w:szCs w:val="22"/>
              </w:rPr>
            </w:pPr>
            <w:r w:rsidRPr="006809FE">
              <w:rPr>
                <w:rFonts w:asciiTheme="minorHAnsi" w:hAnsiTheme="minorHAnsi"/>
                <w:sz w:val="22"/>
                <w:szCs w:val="22"/>
              </w:rPr>
              <w:t xml:space="preserve">Διεύθυνση Οικονομικής Ανάλυσης και Μελετών  </w:t>
            </w:r>
          </w:p>
          <w:p w14:paraId="217DB988" w14:textId="5DC84BFE" w:rsidR="003B44BC" w:rsidRPr="00E66B00" w:rsidRDefault="00F4080C">
            <w:pPr>
              <w:spacing w:after="160"/>
              <w:jc w:val="center"/>
              <w:rPr>
                <w:rFonts w:asciiTheme="minorHAnsi" w:hAnsiTheme="minorHAnsi"/>
              </w:rPr>
            </w:pPr>
            <w:r w:rsidRPr="006809FE">
              <w:rPr>
                <w:rFonts w:asciiTheme="minorHAnsi" w:hAnsiTheme="minorHAnsi"/>
                <w:sz w:val="22"/>
                <w:szCs w:val="22"/>
              </w:rPr>
              <w:t>Τμήμα Νομισματικής Πολιτικής και Θεμάτων Ευρωσυστήματος</w:t>
            </w:r>
          </w:p>
        </w:tc>
      </w:tr>
    </w:tbl>
    <w:p w14:paraId="45E9822F" w14:textId="3140EED4" w:rsidR="00DB0662" w:rsidRPr="00E66B00" w:rsidRDefault="00DB0662">
      <w:pPr>
        <w:rPr>
          <w:rFonts w:asciiTheme="minorHAnsi" w:hAnsiTheme="minorHAnsi"/>
        </w:rPr>
      </w:pPr>
    </w:p>
    <w:sectPr w:rsidR="00DB0662" w:rsidRPr="00E66B00" w:rsidSect="007B30CE">
      <w:headerReference w:type="even" r:id="rId20"/>
      <w:headerReference w:type="default" r:id="rId21"/>
      <w:headerReference w:type="first" r:id="rId22"/>
      <w:pgSz w:w="11906" w:h="16838"/>
      <w:pgMar w:top="1080" w:right="1080" w:bottom="1080" w:left="108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4FE9B" w14:textId="77777777" w:rsidR="00BE3D35" w:rsidRDefault="00BE3D35" w:rsidP="0002169A">
      <w:r>
        <w:separator/>
      </w:r>
    </w:p>
  </w:endnote>
  <w:endnote w:type="continuationSeparator" w:id="0">
    <w:p w14:paraId="5CE22E2D" w14:textId="77777777" w:rsidR="00BE3D35" w:rsidRDefault="00BE3D35" w:rsidP="00021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onsolas">
    <w:panose1 w:val="020B0609020204030204"/>
    <w:charset w:val="A1"/>
    <w:family w:val="modern"/>
    <w:pitch w:val="fixed"/>
    <w:sig w:usb0="E10002FF" w:usb1="4000FCFF" w:usb2="00000009" w:usb3="00000000" w:csb0="000001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10022FF" w:usb1="C000E47F" w:usb2="00000029" w:usb3="00000000" w:csb0="000001D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F0974" w14:textId="77777777" w:rsidR="00BE3D35" w:rsidRDefault="00BE3D35" w:rsidP="0002169A">
      <w:r>
        <w:separator/>
      </w:r>
    </w:p>
  </w:footnote>
  <w:footnote w:type="continuationSeparator" w:id="0">
    <w:p w14:paraId="422C40C2" w14:textId="77777777" w:rsidR="00BE3D35" w:rsidRDefault="00BE3D35" w:rsidP="00021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E388B" w14:textId="1A0B084D" w:rsidR="00DD6B44" w:rsidRDefault="00DD6B44">
    <w:pPr>
      <w:pStyle w:val="Header"/>
    </w:pPr>
    <w:r>
      <w:rPr>
        <w:noProof/>
      </w:rPr>
      <mc:AlternateContent>
        <mc:Choice Requires="wps">
          <w:drawing>
            <wp:anchor distT="0" distB="0" distL="0" distR="0" simplePos="0" relativeHeight="251659264" behindDoc="0" locked="0" layoutInCell="1" allowOverlap="1" wp14:anchorId="344A2706" wp14:editId="59171D22">
              <wp:simplePos x="635" y="635"/>
              <wp:positionH relativeFrom="page">
                <wp:align>center</wp:align>
              </wp:positionH>
              <wp:positionV relativeFrom="page">
                <wp:align>top</wp:align>
              </wp:positionV>
              <wp:extent cx="2303780" cy="345440"/>
              <wp:effectExtent l="0" t="0" r="1270" b="16510"/>
              <wp:wrapNone/>
              <wp:docPr id="1206499913" name="Text Box 4" descr="ΠΕΡΙΟΡΙΣΜΕΝΗΣ ΕΣΩΤΕΡΙΚΗΣ ΔΙΑΝΟΜΗΣ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03780" cy="345440"/>
                      </a:xfrm>
                      <a:prstGeom prst="rect">
                        <a:avLst/>
                      </a:prstGeom>
                      <a:noFill/>
                      <a:ln>
                        <a:noFill/>
                      </a:ln>
                    </wps:spPr>
                    <wps:txbx>
                      <w:txbxContent>
                        <w:p w14:paraId="4FED631B" w14:textId="60FFD155" w:rsidR="00DD6B44" w:rsidRPr="00DD6B44" w:rsidRDefault="00DD6B44" w:rsidP="00DD6B44">
                          <w:pPr>
                            <w:rPr>
                              <w:rFonts w:ascii="Aptos" w:eastAsia="Aptos" w:hAnsi="Aptos" w:cs="Aptos"/>
                              <w:noProof/>
                              <w:color w:val="000000"/>
                            </w:rPr>
                          </w:pPr>
                          <w:r w:rsidRPr="00DD6B44">
                            <w:rPr>
                              <w:rFonts w:ascii="Aptos" w:eastAsia="Aptos" w:hAnsi="Aptos" w:cs="Aptos"/>
                              <w:noProof/>
                              <w:color w:val="000000"/>
                            </w:rPr>
                            <w:t xml:space="preserve">ΠΕΡΙΟΡΙΣΜΕΝΗΣ ΕΣΩΤΕΡΙΚΗΣ ΔΙΑΝΟΜΗΣ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4A2706" id="_x0000_t202" coordsize="21600,21600" o:spt="202" path="m,l,21600r21600,l21600,xe">
              <v:stroke joinstyle="miter"/>
              <v:path gradientshapeok="t" o:connecttype="rect"/>
            </v:shapetype>
            <v:shape id="Text Box 4" o:spid="_x0000_s1027" type="#_x0000_t202" alt="ΠΕΡΙΟΡΙΣΜΕΝΗΣ ΕΣΩΤΕΡΙΚΗΣ ΔΙΑΝΟΜΗΣ           " style="position:absolute;margin-left:0;margin-top:0;width:181.4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" filled="f" stroked="f">
              <v:textbox style="mso-fit-shape-to-text:t" inset="0,15pt,0,0">
                <w:txbxContent>
                  <w:p w14:paraId="4FED631B" w14:textId="60FFD155" w:rsidR="00DD6B44" w:rsidRPr="00DD6B44" w:rsidRDefault="00DD6B44" w:rsidP="00DD6B44">
                    <w:pPr>
                      <w:rPr>
                        <w:rFonts w:ascii="Aptos" w:eastAsia="Aptos" w:hAnsi="Aptos" w:cs="Aptos"/>
                        <w:noProof/>
                        <w:color w:val="000000"/>
                      </w:rPr>
                    </w:pPr>
                    <w:r w:rsidRPr="00DD6B44">
                      <w:rPr>
                        <w:rFonts w:ascii="Aptos" w:eastAsia="Aptos" w:hAnsi="Aptos" w:cs="Aptos"/>
                        <w:noProof/>
                        <w:color w:val="000000"/>
                      </w:rPr>
                      <w:t xml:space="preserve">ΠΕΡΙΟΡΙΣΜΕΝΗΣ ΕΣΩΤΕΡΙΚΗΣ ΔΙΑΝΟΜΗΣ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EC2C8" w14:textId="4210CD18" w:rsidR="00DD6B44" w:rsidRDefault="00DD6B44">
    <w:pPr>
      <w:pStyle w:val="Header"/>
    </w:pPr>
    <w:r>
      <w:rPr>
        <w:noProof/>
      </w:rPr>
      <mc:AlternateContent>
        <mc:Choice Requires="wps">
          <w:drawing>
            <wp:anchor distT="0" distB="0" distL="0" distR="0" simplePos="0" relativeHeight="251660288" behindDoc="0" locked="0" layoutInCell="1" allowOverlap="1" wp14:anchorId="1998D9BA" wp14:editId="2B6C363B">
              <wp:simplePos x="686873" y="360608"/>
              <wp:positionH relativeFrom="page">
                <wp:align>center</wp:align>
              </wp:positionH>
              <wp:positionV relativeFrom="page">
                <wp:align>top</wp:align>
              </wp:positionV>
              <wp:extent cx="2303780" cy="345440"/>
              <wp:effectExtent l="0" t="0" r="1270" b="16510"/>
              <wp:wrapNone/>
              <wp:docPr id="802690854" name="Text Box 5" descr="ΠΕΡΙΟΡΙΣΜΕΝΗΣ ΕΣΩΤΕΡΙΚΗΣ ΔΙΑΝΟΜΗΣ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03780" cy="345440"/>
                      </a:xfrm>
                      <a:prstGeom prst="rect">
                        <a:avLst/>
                      </a:prstGeom>
                      <a:noFill/>
                      <a:ln>
                        <a:noFill/>
                      </a:ln>
                    </wps:spPr>
                    <wps:txbx>
                      <w:txbxContent>
                        <w:p w14:paraId="181BFD23" w14:textId="327A2603" w:rsidR="00DD6B44" w:rsidRPr="00DD6B44" w:rsidRDefault="00DD6B44" w:rsidP="00DD6B44">
                          <w:pPr>
                            <w:rPr>
                              <w:rFonts w:ascii="Aptos" w:eastAsia="Aptos" w:hAnsi="Aptos" w:cs="Aptos"/>
                              <w:noProof/>
                              <w:color w:val="00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98D9BA" id="_x0000_t202" coordsize="21600,21600" o:spt="202" path="m,l,21600r21600,l21600,xe">
              <v:stroke joinstyle="miter"/>
              <v:path gradientshapeok="t" o:connecttype="rect"/>
            </v:shapetype>
            <v:shape id="Text Box 5" o:spid="_x0000_s1028" type="#_x0000_t202" alt="ΠΕΡΙΟΡΙΣΜΕΝΗΣ ΕΣΩΤΕΡΙΚΗΣ ΔΙΑΝΟΜΗΣ           " style="position:absolute;margin-left:0;margin-top:0;width:181.4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" filled="f" stroked="f">
              <v:textbox style="mso-fit-shape-to-text:t" inset="0,15pt,0,0">
                <w:txbxContent>
                  <w:p w14:paraId="181BFD23" w14:textId="327A2603" w:rsidR="00DD6B44" w:rsidRPr="00DD6B44" w:rsidRDefault="00DD6B44" w:rsidP="00DD6B44">
                    <w:pPr>
                      <w:rPr>
                        <w:rFonts w:ascii="Aptos" w:eastAsia="Aptos" w:hAnsi="Aptos" w:cs="Aptos"/>
                        <w:noProof/>
                        <w:color w:val="00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FBE1" w14:textId="3298AC05" w:rsidR="00DD6B44" w:rsidRDefault="00DD6B44">
    <w:pPr>
      <w:pStyle w:val="Header"/>
    </w:pPr>
    <w:r>
      <w:rPr>
        <w:noProof/>
      </w:rPr>
      <mc:AlternateContent>
        <mc:Choice Requires="wps">
          <w:drawing>
            <wp:anchor distT="0" distB="0" distL="0" distR="0" simplePos="0" relativeHeight="251658240" behindDoc="0" locked="0" layoutInCell="1" allowOverlap="1" wp14:anchorId="260C1150" wp14:editId="38F12756">
              <wp:simplePos x="635" y="635"/>
              <wp:positionH relativeFrom="page">
                <wp:align>center</wp:align>
              </wp:positionH>
              <wp:positionV relativeFrom="page">
                <wp:align>top</wp:align>
              </wp:positionV>
              <wp:extent cx="2303780" cy="345440"/>
              <wp:effectExtent l="0" t="0" r="1270" b="16510"/>
              <wp:wrapNone/>
              <wp:docPr id="422853517" name="Text Box 3" descr="ΠΕΡΙΟΡΙΣΜΕΝΗΣ ΕΣΩΤΕΡΙΚΗΣ ΔΙΑΝΟΜΗΣ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03780" cy="345440"/>
                      </a:xfrm>
                      <a:prstGeom prst="rect">
                        <a:avLst/>
                      </a:prstGeom>
                      <a:noFill/>
                      <a:ln>
                        <a:noFill/>
                      </a:ln>
                    </wps:spPr>
                    <wps:txbx>
                      <w:txbxContent>
                        <w:p w14:paraId="7F82BC1E" w14:textId="5577C974" w:rsidR="00DD6B44" w:rsidRPr="00DD6B44" w:rsidRDefault="00DD6B44" w:rsidP="00DD6B44">
                          <w:pPr>
                            <w:rPr>
                              <w:rFonts w:ascii="Aptos" w:eastAsia="Aptos" w:hAnsi="Aptos" w:cs="Aptos"/>
                              <w:noProof/>
                              <w:color w:val="000000"/>
                            </w:rPr>
                          </w:pPr>
                          <w:r w:rsidRPr="00DD6B44">
                            <w:rPr>
                              <w:rFonts w:ascii="Aptos" w:eastAsia="Aptos" w:hAnsi="Aptos" w:cs="Aptos"/>
                              <w:noProof/>
                              <w:color w:val="000000"/>
                            </w:rPr>
                            <w:t xml:space="preserve">ΠΕΡΙΟΡΙΣΜΕΝΗΣ ΕΣΩΤΕΡΙΚΗΣ ΔΙΑΝΟΜΗΣ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0C1150" id="_x0000_t202" coordsize="21600,21600" o:spt="202" path="m,l,21600r21600,l21600,xe">
              <v:stroke joinstyle="miter"/>
              <v:path gradientshapeok="t" o:connecttype="rect"/>
            </v:shapetype>
            <v:shape id="Text Box 3" o:spid="_x0000_s1029" type="#_x0000_t202" alt="ΠΕΡΙΟΡΙΣΜΕΝΗΣ ΕΣΩΤΕΡΙΚΗΣ ΔΙΑΝΟΜΗΣ           " style="position:absolute;margin-left:0;margin-top:0;width:181.4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" filled="f" stroked="f">
              <v:textbox style="mso-fit-shape-to-text:t" inset="0,15pt,0,0">
                <w:txbxContent>
                  <w:p w14:paraId="7F82BC1E" w14:textId="5577C974" w:rsidR="00DD6B44" w:rsidRPr="00DD6B44" w:rsidRDefault="00DD6B44" w:rsidP="00DD6B44">
                    <w:pPr>
                      <w:rPr>
                        <w:rFonts w:ascii="Aptos" w:eastAsia="Aptos" w:hAnsi="Aptos" w:cs="Aptos"/>
                        <w:noProof/>
                        <w:color w:val="000000"/>
                      </w:rPr>
                    </w:pPr>
                    <w:r w:rsidRPr="00DD6B44">
                      <w:rPr>
                        <w:rFonts w:ascii="Aptos" w:eastAsia="Aptos" w:hAnsi="Aptos" w:cs="Aptos"/>
                        <w:noProof/>
                        <w:color w:val="000000"/>
                      </w:rPr>
                      <w:t xml:space="preserve">ΠΕΡΙΟΡΙΣΜΕΝΗΣ ΕΣΩΤΕΡΙΚΗΣ ΔΙΑΝΟΜΗΣ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8643C"/>
    <w:multiLevelType w:val="hybridMultilevel"/>
    <w:tmpl w:val="6F4A034C"/>
    <w:lvl w:ilvl="0" w:tplc="0407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CB7E02"/>
    <w:multiLevelType w:val="hybridMultilevel"/>
    <w:tmpl w:val="AE8CA7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6355A3"/>
    <w:multiLevelType w:val="hybridMultilevel"/>
    <w:tmpl w:val="2B92D1A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7F300C2"/>
    <w:multiLevelType w:val="hybridMultilevel"/>
    <w:tmpl w:val="5F884E36"/>
    <w:lvl w:ilvl="0" w:tplc="ECEE0F8C">
      <w:start w:val="1"/>
      <w:numFmt w:val="bullet"/>
      <w:lvlText w:val="●"/>
      <w:lvlJc w:val="left"/>
      <w:pPr>
        <w:ind w:left="720" w:hanging="360"/>
      </w:pPr>
    </w:lvl>
    <w:lvl w:ilvl="1" w:tplc="B9F2F0BE">
      <w:start w:val="1"/>
      <w:numFmt w:val="bullet"/>
      <w:lvlText w:val="○"/>
      <w:lvlJc w:val="left"/>
      <w:pPr>
        <w:ind w:left="1440" w:hanging="360"/>
      </w:pPr>
    </w:lvl>
    <w:lvl w:ilvl="2" w:tplc="4D16D858">
      <w:start w:val="1"/>
      <w:numFmt w:val="bullet"/>
      <w:lvlText w:val="■"/>
      <w:lvlJc w:val="left"/>
      <w:pPr>
        <w:ind w:left="2160" w:hanging="360"/>
      </w:pPr>
    </w:lvl>
    <w:lvl w:ilvl="3" w:tplc="34DC4638">
      <w:start w:val="1"/>
      <w:numFmt w:val="bullet"/>
      <w:lvlText w:val="●"/>
      <w:lvlJc w:val="left"/>
      <w:pPr>
        <w:ind w:left="2880" w:hanging="360"/>
      </w:pPr>
    </w:lvl>
    <w:lvl w:ilvl="4" w:tplc="2D72C3A4">
      <w:start w:val="1"/>
      <w:numFmt w:val="bullet"/>
      <w:lvlText w:val="○"/>
      <w:lvlJc w:val="left"/>
      <w:pPr>
        <w:ind w:left="3600" w:hanging="360"/>
      </w:pPr>
    </w:lvl>
    <w:lvl w:ilvl="5" w:tplc="FE8E5458">
      <w:start w:val="1"/>
      <w:numFmt w:val="bullet"/>
      <w:lvlText w:val="■"/>
      <w:lvlJc w:val="left"/>
      <w:pPr>
        <w:ind w:left="4320" w:hanging="360"/>
      </w:pPr>
    </w:lvl>
    <w:lvl w:ilvl="6" w:tplc="44222D40">
      <w:start w:val="1"/>
      <w:numFmt w:val="bullet"/>
      <w:lvlText w:val="●"/>
      <w:lvlJc w:val="left"/>
      <w:pPr>
        <w:ind w:left="5040" w:hanging="360"/>
      </w:pPr>
    </w:lvl>
    <w:lvl w:ilvl="7" w:tplc="433484FA">
      <w:start w:val="1"/>
      <w:numFmt w:val="bullet"/>
      <w:lvlText w:val="●"/>
      <w:lvlJc w:val="left"/>
      <w:pPr>
        <w:ind w:left="5760" w:hanging="360"/>
      </w:pPr>
    </w:lvl>
    <w:lvl w:ilvl="8" w:tplc="00D42542">
      <w:start w:val="1"/>
      <w:numFmt w:val="bullet"/>
      <w:lvlText w:val="●"/>
      <w:lvlJc w:val="left"/>
      <w:pPr>
        <w:ind w:left="6480" w:hanging="360"/>
      </w:pPr>
    </w:lvl>
  </w:abstractNum>
  <w:abstractNum w:abstractNumId="4" w15:restartNumberingAfterBreak="0">
    <w:nsid w:val="21FA34E0"/>
    <w:multiLevelType w:val="hybridMultilevel"/>
    <w:tmpl w:val="7E5AC96C"/>
    <w:lvl w:ilvl="0" w:tplc="DA80FBB4">
      <w:start w:val="1"/>
      <w:numFmt w:val="bullet"/>
      <w:lvlText w:val="•"/>
      <w:lvlJc w:val="left"/>
      <w:pPr>
        <w:ind w:left="560" w:hanging="280"/>
      </w:pPr>
    </w:lvl>
    <w:lvl w:ilvl="1" w:tplc="C5F4C576">
      <w:numFmt w:val="decimal"/>
      <w:lvlText w:val=""/>
      <w:lvlJc w:val="left"/>
    </w:lvl>
    <w:lvl w:ilvl="2" w:tplc="EC063E3A">
      <w:numFmt w:val="decimal"/>
      <w:lvlText w:val=""/>
      <w:lvlJc w:val="left"/>
    </w:lvl>
    <w:lvl w:ilvl="3" w:tplc="A148C472">
      <w:numFmt w:val="decimal"/>
      <w:lvlText w:val=""/>
      <w:lvlJc w:val="left"/>
    </w:lvl>
    <w:lvl w:ilvl="4" w:tplc="D5A2536C">
      <w:numFmt w:val="decimal"/>
      <w:lvlText w:val=""/>
      <w:lvlJc w:val="left"/>
    </w:lvl>
    <w:lvl w:ilvl="5" w:tplc="B85C455E">
      <w:numFmt w:val="decimal"/>
      <w:lvlText w:val=""/>
      <w:lvlJc w:val="left"/>
    </w:lvl>
    <w:lvl w:ilvl="6" w:tplc="B61A72B0">
      <w:numFmt w:val="decimal"/>
      <w:lvlText w:val=""/>
      <w:lvlJc w:val="left"/>
    </w:lvl>
    <w:lvl w:ilvl="7" w:tplc="6646FBB2">
      <w:numFmt w:val="decimal"/>
      <w:lvlText w:val=""/>
      <w:lvlJc w:val="left"/>
    </w:lvl>
    <w:lvl w:ilvl="8" w:tplc="7F708092">
      <w:numFmt w:val="decimal"/>
      <w:lvlText w:val=""/>
      <w:lvlJc w:val="left"/>
    </w:lvl>
  </w:abstractNum>
  <w:abstractNum w:abstractNumId="5" w15:restartNumberingAfterBreak="0">
    <w:nsid w:val="22571EA2"/>
    <w:multiLevelType w:val="hybridMultilevel"/>
    <w:tmpl w:val="E16EDA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A7C0DF1"/>
    <w:multiLevelType w:val="hybridMultilevel"/>
    <w:tmpl w:val="B134CD6E"/>
    <w:lvl w:ilvl="0" w:tplc="04080001">
      <w:start w:val="1"/>
      <w:numFmt w:val="bullet"/>
      <w:lvlText w:val=""/>
      <w:lvlJc w:val="left"/>
      <w:pPr>
        <w:ind w:left="720" w:hanging="360"/>
      </w:pPr>
      <w:rPr>
        <w:rFonts w:ascii="Symbol" w:hAnsi="Symbol" w:hint="default"/>
      </w:rPr>
    </w:lvl>
    <w:lvl w:ilvl="1" w:tplc="79C4B318">
      <w:numFmt w:val="bullet"/>
      <w:lvlText w:val="•"/>
      <w:lvlJc w:val="left"/>
      <w:pPr>
        <w:ind w:left="1800" w:hanging="720"/>
      </w:pPr>
      <w:rPr>
        <w:rFonts w:ascii="Arial" w:eastAsia="Arial" w:hAnsi="Arial"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2871F3D"/>
    <w:multiLevelType w:val="hybridMultilevel"/>
    <w:tmpl w:val="ECC83878"/>
    <w:lvl w:ilvl="0" w:tplc="B79C6122">
      <w:numFmt w:val="bullet"/>
      <w:lvlText w:val="•"/>
      <w:lvlJc w:val="left"/>
      <w:pPr>
        <w:ind w:left="720" w:hanging="675"/>
      </w:pPr>
      <w:rPr>
        <w:rFonts w:ascii="Aptos" w:eastAsia="Arial" w:hAnsi="Aptos" w:cs="Arial" w:hint="default"/>
      </w:rPr>
    </w:lvl>
    <w:lvl w:ilvl="1" w:tplc="04080003" w:tentative="1">
      <w:start w:val="1"/>
      <w:numFmt w:val="bullet"/>
      <w:lvlText w:val="o"/>
      <w:lvlJc w:val="left"/>
      <w:pPr>
        <w:ind w:left="1125" w:hanging="360"/>
      </w:pPr>
      <w:rPr>
        <w:rFonts w:ascii="Courier New" w:hAnsi="Courier New" w:cs="Courier New" w:hint="default"/>
      </w:rPr>
    </w:lvl>
    <w:lvl w:ilvl="2" w:tplc="04080005" w:tentative="1">
      <w:start w:val="1"/>
      <w:numFmt w:val="bullet"/>
      <w:lvlText w:val=""/>
      <w:lvlJc w:val="left"/>
      <w:pPr>
        <w:ind w:left="1845" w:hanging="360"/>
      </w:pPr>
      <w:rPr>
        <w:rFonts w:ascii="Wingdings" w:hAnsi="Wingdings" w:hint="default"/>
      </w:rPr>
    </w:lvl>
    <w:lvl w:ilvl="3" w:tplc="04080001" w:tentative="1">
      <w:start w:val="1"/>
      <w:numFmt w:val="bullet"/>
      <w:lvlText w:val=""/>
      <w:lvlJc w:val="left"/>
      <w:pPr>
        <w:ind w:left="2565" w:hanging="360"/>
      </w:pPr>
      <w:rPr>
        <w:rFonts w:ascii="Symbol" w:hAnsi="Symbol" w:hint="default"/>
      </w:rPr>
    </w:lvl>
    <w:lvl w:ilvl="4" w:tplc="04080003" w:tentative="1">
      <w:start w:val="1"/>
      <w:numFmt w:val="bullet"/>
      <w:lvlText w:val="o"/>
      <w:lvlJc w:val="left"/>
      <w:pPr>
        <w:ind w:left="3285" w:hanging="360"/>
      </w:pPr>
      <w:rPr>
        <w:rFonts w:ascii="Courier New" w:hAnsi="Courier New" w:cs="Courier New" w:hint="default"/>
      </w:rPr>
    </w:lvl>
    <w:lvl w:ilvl="5" w:tplc="04080005" w:tentative="1">
      <w:start w:val="1"/>
      <w:numFmt w:val="bullet"/>
      <w:lvlText w:val=""/>
      <w:lvlJc w:val="left"/>
      <w:pPr>
        <w:ind w:left="4005" w:hanging="360"/>
      </w:pPr>
      <w:rPr>
        <w:rFonts w:ascii="Wingdings" w:hAnsi="Wingdings" w:hint="default"/>
      </w:rPr>
    </w:lvl>
    <w:lvl w:ilvl="6" w:tplc="04080001" w:tentative="1">
      <w:start w:val="1"/>
      <w:numFmt w:val="bullet"/>
      <w:lvlText w:val=""/>
      <w:lvlJc w:val="left"/>
      <w:pPr>
        <w:ind w:left="4725" w:hanging="360"/>
      </w:pPr>
      <w:rPr>
        <w:rFonts w:ascii="Symbol" w:hAnsi="Symbol" w:hint="default"/>
      </w:rPr>
    </w:lvl>
    <w:lvl w:ilvl="7" w:tplc="04080003" w:tentative="1">
      <w:start w:val="1"/>
      <w:numFmt w:val="bullet"/>
      <w:lvlText w:val="o"/>
      <w:lvlJc w:val="left"/>
      <w:pPr>
        <w:ind w:left="5445" w:hanging="360"/>
      </w:pPr>
      <w:rPr>
        <w:rFonts w:ascii="Courier New" w:hAnsi="Courier New" w:cs="Courier New" w:hint="default"/>
      </w:rPr>
    </w:lvl>
    <w:lvl w:ilvl="8" w:tplc="04080005" w:tentative="1">
      <w:start w:val="1"/>
      <w:numFmt w:val="bullet"/>
      <w:lvlText w:val=""/>
      <w:lvlJc w:val="left"/>
      <w:pPr>
        <w:ind w:left="6165" w:hanging="360"/>
      </w:pPr>
      <w:rPr>
        <w:rFonts w:ascii="Wingdings" w:hAnsi="Wingdings" w:hint="default"/>
      </w:rPr>
    </w:lvl>
  </w:abstractNum>
  <w:abstractNum w:abstractNumId="8" w15:restartNumberingAfterBreak="0">
    <w:nsid w:val="47636C2E"/>
    <w:multiLevelType w:val="hybridMultilevel"/>
    <w:tmpl w:val="1CA4403C"/>
    <w:lvl w:ilvl="0" w:tplc="3078E962">
      <w:start w:val="1"/>
      <w:numFmt w:val="decimal"/>
      <w:lvlText w:val="%1."/>
      <w:lvlJc w:val="left"/>
      <w:pPr>
        <w:ind w:left="720" w:hanging="360"/>
      </w:pPr>
      <w:rPr>
        <w:rFonts w:cs="Segoe UI Emoj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4E2A7254"/>
    <w:multiLevelType w:val="hybridMultilevel"/>
    <w:tmpl w:val="872C27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67502462"/>
    <w:multiLevelType w:val="hybridMultilevel"/>
    <w:tmpl w:val="055AC2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C976FAD"/>
    <w:multiLevelType w:val="hybridMultilevel"/>
    <w:tmpl w:val="43DEFC9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F732E5E"/>
    <w:multiLevelType w:val="hybridMultilevel"/>
    <w:tmpl w:val="0A9435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96792557">
    <w:abstractNumId w:val="3"/>
    <w:lvlOverride w:ilvl="0">
      <w:startOverride w:val="1"/>
    </w:lvlOverride>
  </w:num>
  <w:num w:numId="2" w16cid:durableId="2092192937">
    <w:abstractNumId w:val="8"/>
  </w:num>
  <w:num w:numId="3" w16cid:durableId="1318806749">
    <w:abstractNumId w:val="6"/>
  </w:num>
  <w:num w:numId="4" w16cid:durableId="633297731">
    <w:abstractNumId w:val="5"/>
  </w:num>
  <w:num w:numId="5" w16cid:durableId="1360159478">
    <w:abstractNumId w:val="1"/>
  </w:num>
  <w:num w:numId="6" w16cid:durableId="1237206323">
    <w:abstractNumId w:val="11"/>
  </w:num>
  <w:num w:numId="7" w16cid:durableId="1536775454">
    <w:abstractNumId w:val="0"/>
  </w:num>
  <w:num w:numId="8" w16cid:durableId="119303288">
    <w:abstractNumId w:val="10"/>
  </w:num>
  <w:num w:numId="9" w16cid:durableId="1692994693">
    <w:abstractNumId w:val="2"/>
  </w:num>
  <w:num w:numId="10" w16cid:durableId="586770248">
    <w:abstractNumId w:val="9"/>
  </w:num>
  <w:num w:numId="11" w16cid:durableId="1660376766">
    <w:abstractNumId w:val="7"/>
  </w:num>
  <w:num w:numId="12" w16cid:durableId="5840729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4BC"/>
    <w:rsid w:val="00001A4F"/>
    <w:rsid w:val="00003112"/>
    <w:rsid w:val="00004CE4"/>
    <w:rsid w:val="00005E0F"/>
    <w:rsid w:val="000075CD"/>
    <w:rsid w:val="00007923"/>
    <w:rsid w:val="00007EB5"/>
    <w:rsid w:val="00010B4D"/>
    <w:rsid w:val="00010DBC"/>
    <w:rsid w:val="0001168A"/>
    <w:rsid w:val="00012979"/>
    <w:rsid w:val="00012E29"/>
    <w:rsid w:val="00015275"/>
    <w:rsid w:val="000157C6"/>
    <w:rsid w:val="0002169A"/>
    <w:rsid w:val="0002303C"/>
    <w:rsid w:val="000249FE"/>
    <w:rsid w:val="00025965"/>
    <w:rsid w:val="00025AB0"/>
    <w:rsid w:val="00025CAB"/>
    <w:rsid w:val="00026AE4"/>
    <w:rsid w:val="00036879"/>
    <w:rsid w:val="00037C05"/>
    <w:rsid w:val="00037E62"/>
    <w:rsid w:val="00040571"/>
    <w:rsid w:val="0004085F"/>
    <w:rsid w:val="0004262F"/>
    <w:rsid w:val="000442F3"/>
    <w:rsid w:val="00047EAD"/>
    <w:rsid w:val="0005049D"/>
    <w:rsid w:val="00056498"/>
    <w:rsid w:val="00056B04"/>
    <w:rsid w:val="00063DE0"/>
    <w:rsid w:val="000668CE"/>
    <w:rsid w:val="00067786"/>
    <w:rsid w:val="00070248"/>
    <w:rsid w:val="00071CD2"/>
    <w:rsid w:val="0007625E"/>
    <w:rsid w:val="00077A09"/>
    <w:rsid w:val="00086A0E"/>
    <w:rsid w:val="00087BEE"/>
    <w:rsid w:val="00090811"/>
    <w:rsid w:val="00090BAE"/>
    <w:rsid w:val="000914BD"/>
    <w:rsid w:val="00091CCD"/>
    <w:rsid w:val="000932AD"/>
    <w:rsid w:val="000954D7"/>
    <w:rsid w:val="00095F62"/>
    <w:rsid w:val="00096176"/>
    <w:rsid w:val="000A009F"/>
    <w:rsid w:val="000A01B7"/>
    <w:rsid w:val="000A306D"/>
    <w:rsid w:val="000A6572"/>
    <w:rsid w:val="000A77CD"/>
    <w:rsid w:val="000B05B4"/>
    <w:rsid w:val="000B070A"/>
    <w:rsid w:val="000B1BB6"/>
    <w:rsid w:val="000B2252"/>
    <w:rsid w:val="000B29E6"/>
    <w:rsid w:val="000C232D"/>
    <w:rsid w:val="000C3997"/>
    <w:rsid w:val="000C44CC"/>
    <w:rsid w:val="000C5A29"/>
    <w:rsid w:val="000C5D69"/>
    <w:rsid w:val="000D14A5"/>
    <w:rsid w:val="000D1A30"/>
    <w:rsid w:val="000D1AC2"/>
    <w:rsid w:val="000D2BF0"/>
    <w:rsid w:val="000D34A1"/>
    <w:rsid w:val="000D4939"/>
    <w:rsid w:val="000D6960"/>
    <w:rsid w:val="000E1015"/>
    <w:rsid w:val="000E2B94"/>
    <w:rsid w:val="000E564D"/>
    <w:rsid w:val="000E69EE"/>
    <w:rsid w:val="000E71EA"/>
    <w:rsid w:val="000F1352"/>
    <w:rsid w:val="000F2950"/>
    <w:rsid w:val="000F498A"/>
    <w:rsid w:val="000F66DD"/>
    <w:rsid w:val="000F6BE9"/>
    <w:rsid w:val="00101134"/>
    <w:rsid w:val="00102B21"/>
    <w:rsid w:val="00102F11"/>
    <w:rsid w:val="0010478E"/>
    <w:rsid w:val="00104A2F"/>
    <w:rsid w:val="00105BC2"/>
    <w:rsid w:val="00110040"/>
    <w:rsid w:val="00110072"/>
    <w:rsid w:val="00110BD9"/>
    <w:rsid w:val="0011220D"/>
    <w:rsid w:val="00113AA7"/>
    <w:rsid w:val="00115CF4"/>
    <w:rsid w:val="00116694"/>
    <w:rsid w:val="001211F3"/>
    <w:rsid w:val="00121E0D"/>
    <w:rsid w:val="00124BDF"/>
    <w:rsid w:val="001356DB"/>
    <w:rsid w:val="00135DAA"/>
    <w:rsid w:val="001361B0"/>
    <w:rsid w:val="001369E3"/>
    <w:rsid w:val="00137EC3"/>
    <w:rsid w:val="00141C01"/>
    <w:rsid w:val="00143301"/>
    <w:rsid w:val="00144559"/>
    <w:rsid w:val="00144E1F"/>
    <w:rsid w:val="0014677D"/>
    <w:rsid w:val="00150589"/>
    <w:rsid w:val="00152202"/>
    <w:rsid w:val="00157380"/>
    <w:rsid w:val="00160DA2"/>
    <w:rsid w:val="00161374"/>
    <w:rsid w:val="0016230A"/>
    <w:rsid w:val="001644F6"/>
    <w:rsid w:val="00173148"/>
    <w:rsid w:val="00175F53"/>
    <w:rsid w:val="00176EEC"/>
    <w:rsid w:val="00181E8B"/>
    <w:rsid w:val="00183C50"/>
    <w:rsid w:val="00187527"/>
    <w:rsid w:val="00191515"/>
    <w:rsid w:val="0019440A"/>
    <w:rsid w:val="00195ACF"/>
    <w:rsid w:val="001973D2"/>
    <w:rsid w:val="0019797F"/>
    <w:rsid w:val="001A03FB"/>
    <w:rsid w:val="001A0D6D"/>
    <w:rsid w:val="001A22AE"/>
    <w:rsid w:val="001A4850"/>
    <w:rsid w:val="001A75AA"/>
    <w:rsid w:val="001B1120"/>
    <w:rsid w:val="001B2BF2"/>
    <w:rsid w:val="001B6B69"/>
    <w:rsid w:val="001C111E"/>
    <w:rsid w:val="001C1BA5"/>
    <w:rsid w:val="001C1FCF"/>
    <w:rsid w:val="001C3780"/>
    <w:rsid w:val="001C5C30"/>
    <w:rsid w:val="001C76E7"/>
    <w:rsid w:val="001C7B9F"/>
    <w:rsid w:val="001D0583"/>
    <w:rsid w:val="001D0A36"/>
    <w:rsid w:val="001D1DD2"/>
    <w:rsid w:val="001D32CF"/>
    <w:rsid w:val="001D4E51"/>
    <w:rsid w:val="001E5D5B"/>
    <w:rsid w:val="001E64D2"/>
    <w:rsid w:val="001E71FB"/>
    <w:rsid w:val="001F2305"/>
    <w:rsid w:val="001F3358"/>
    <w:rsid w:val="001F5E81"/>
    <w:rsid w:val="002032EF"/>
    <w:rsid w:val="00203F89"/>
    <w:rsid w:val="0020668F"/>
    <w:rsid w:val="00212A1E"/>
    <w:rsid w:val="0021316D"/>
    <w:rsid w:val="00213DA7"/>
    <w:rsid w:val="002173D5"/>
    <w:rsid w:val="00222C58"/>
    <w:rsid w:val="00226785"/>
    <w:rsid w:val="0022785E"/>
    <w:rsid w:val="00227E00"/>
    <w:rsid w:val="00233126"/>
    <w:rsid w:val="00234AFE"/>
    <w:rsid w:val="00234EA0"/>
    <w:rsid w:val="00242D20"/>
    <w:rsid w:val="00244D1A"/>
    <w:rsid w:val="0024543E"/>
    <w:rsid w:val="00245A02"/>
    <w:rsid w:val="00251AC7"/>
    <w:rsid w:val="00252AF6"/>
    <w:rsid w:val="00254E09"/>
    <w:rsid w:val="00261934"/>
    <w:rsid w:val="002627C8"/>
    <w:rsid w:val="0027074B"/>
    <w:rsid w:val="002720F5"/>
    <w:rsid w:val="00274B9F"/>
    <w:rsid w:val="00275FBB"/>
    <w:rsid w:val="0027613E"/>
    <w:rsid w:val="00277F61"/>
    <w:rsid w:val="00280F19"/>
    <w:rsid w:val="00281306"/>
    <w:rsid w:val="00282742"/>
    <w:rsid w:val="0028365B"/>
    <w:rsid w:val="00291497"/>
    <w:rsid w:val="0029418F"/>
    <w:rsid w:val="00297CB5"/>
    <w:rsid w:val="002A45FE"/>
    <w:rsid w:val="002A5F3D"/>
    <w:rsid w:val="002A6F11"/>
    <w:rsid w:val="002A74DD"/>
    <w:rsid w:val="002B0586"/>
    <w:rsid w:val="002B0878"/>
    <w:rsid w:val="002B5ECA"/>
    <w:rsid w:val="002B7F3B"/>
    <w:rsid w:val="002C1668"/>
    <w:rsid w:val="002C496C"/>
    <w:rsid w:val="002C637A"/>
    <w:rsid w:val="002C6920"/>
    <w:rsid w:val="002C6E1C"/>
    <w:rsid w:val="002C7066"/>
    <w:rsid w:val="002C7494"/>
    <w:rsid w:val="002C7B05"/>
    <w:rsid w:val="002D5017"/>
    <w:rsid w:val="002D54E6"/>
    <w:rsid w:val="002D649D"/>
    <w:rsid w:val="002D6B8A"/>
    <w:rsid w:val="002D74A9"/>
    <w:rsid w:val="002E03B8"/>
    <w:rsid w:val="002E0CB4"/>
    <w:rsid w:val="002E719C"/>
    <w:rsid w:val="002E7487"/>
    <w:rsid w:val="002F2CD3"/>
    <w:rsid w:val="002F516F"/>
    <w:rsid w:val="002F5947"/>
    <w:rsid w:val="002F7894"/>
    <w:rsid w:val="00301D13"/>
    <w:rsid w:val="00301E09"/>
    <w:rsid w:val="0030697E"/>
    <w:rsid w:val="003130BA"/>
    <w:rsid w:val="003136EE"/>
    <w:rsid w:val="00327333"/>
    <w:rsid w:val="003316B0"/>
    <w:rsid w:val="0033417B"/>
    <w:rsid w:val="003360EF"/>
    <w:rsid w:val="00341CF1"/>
    <w:rsid w:val="00342D5A"/>
    <w:rsid w:val="00347032"/>
    <w:rsid w:val="0034745E"/>
    <w:rsid w:val="003539E1"/>
    <w:rsid w:val="0035422B"/>
    <w:rsid w:val="00357761"/>
    <w:rsid w:val="00357BE8"/>
    <w:rsid w:val="00360A79"/>
    <w:rsid w:val="00363A11"/>
    <w:rsid w:val="00363C6A"/>
    <w:rsid w:val="00370674"/>
    <w:rsid w:val="00370D49"/>
    <w:rsid w:val="00372016"/>
    <w:rsid w:val="00373ADE"/>
    <w:rsid w:val="00373F10"/>
    <w:rsid w:val="00374432"/>
    <w:rsid w:val="003761DA"/>
    <w:rsid w:val="00377BA8"/>
    <w:rsid w:val="00382CDA"/>
    <w:rsid w:val="003855B0"/>
    <w:rsid w:val="0039254F"/>
    <w:rsid w:val="00393687"/>
    <w:rsid w:val="003943B9"/>
    <w:rsid w:val="00395715"/>
    <w:rsid w:val="00397EE8"/>
    <w:rsid w:val="003A1B2C"/>
    <w:rsid w:val="003A4777"/>
    <w:rsid w:val="003A5C41"/>
    <w:rsid w:val="003A6ACA"/>
    <w:rsid w:val="003A7337"/>
    <w:rsid w:val="003B1EFE"/>
    <w:rsid w:val="003B44BC"/>
    <w:rsid w:val="003B465B"/>
    <w:rsid w:val="003B471E"/>
    <w:rsid w:val="003B5333"/>
    <w:rsid w:val="003B6D75"/>
    <w:rsid w:val="003B74D9"/>
    <w:rsid w:val="003C1D74"/>
    <w:rsid w:val="003C1FAD"/>
    <w:rsid w:val="003C230F"/>
    <w:rsid w:val="003C2EFF"/>
    <w:rsid w:val="003C3240"/>
    <w:rsid w:val="003C3C45"/>
    <w:rsid w:val="003C5E68"/>
    <w:rsid w:val="003C6313"/>
    <w:rsid w:val="003D0223"/>
    <w:rsid w:val="003D36FE"/>
    <w:rsid w:val="003D4288"/>
    <w:rsid w:val="003D4847"/>
    <w:rsid w:val="003D5374"/>
    <w:rsid w:val="003E0669"/>
    <w:rsid w:val="003E4F32"/>
    <w:rsid w:val="003E57F0"/>
    <w:rsid w:val="00400FDE"/>
    <w:rsid w:val="00402EFB"/>
    <w:rsid w:val="00403E36"/>
    <w:rsid w:val="004043DE"/>
    <w:rsid w:val="004135DB"/>
    <w:rsid w:val="00422DB0"/>
    <w:rsid w:val="0042331C"/>
    <w:rsid w:val="004248BB"/>
    <w:rsid w:val="004257B5"/>
    <w:rsid w:val="00433F0A"/>
    <w:rsid w:val="004366D9"/>
    <w:rsid w:val="00437004"/>
    <w:rsid w:val="00442B1F"/>
    <w:rsid w:val="00442D33"/>
    <w:rsid w:val="00451EF9"/>
    <w:rsid w:val="00452148"/>
    <w:rsid w:val="00452541"/>
    <w:rsid w:val="004534E8"/>
    <w:rsid w:val="004564D7"/>
    <w:rsid w:val="0046070A"/>
    <w:rsid w:val="00461316"/>
    <w:rsid w:val="004623BD"/>
    <w:rsid w:val="00464FFB"/>
    <w:rsid w:val="00465C38"/>
    <w:rsid w:val="004662E9"/>
    <w:rsid w:val="00467347"/>
    <w:rsid w:val="0047010A"/>
    <w:rsid w:val="00471272"/>
    <w:rsid w:val="0047186F"/>
    <w:rsid w:val="0047553C"/>
    <w:rsid w:val="004765D1"/>
    <w:rsid w:val="004827B1"/>
    <w:rsid w:val="004874AB"/>
    <w:rsid w:val="004879F4"/>
    <w:rsid w:val="0049029D"/>
    <w:rsid w:val="004903BD"/>
    <w:rsid w:val="00490814"/>
    <w:rsid w:val="00490E43"/>
    <w:rsid w:val="004946F6"/>
    <w:rsid w:val="00496767"/>
    <w:rsid w:val="00497D06"/>
    <w:rsid w:val="004A0B11"/>
    <w:rsid w:val="004A1897"/>
    <w:rsid w:val="004A67F1"/>
    <w:rsid w:val="004A7BB9"/>
    <w:rsid w:val="004B27AD"/>
    <w:rsid w:val="004B3AF3"/>
    <w:rsid w:val="004B3EBE"/>
    <w:rsid w:val="004B5CC7"/>
    <w:rsid w:val="004B6090"/>
    <w:rsid w:val="004C19C9"/>
    <w:rsid w:val="004C31B3"/>
    <w:rsid w:val="004C3B9B"/>
    <w:rsid w:val="004D163D"/>
    <w:rsid w:val="004D1678"/>
    <w:rsid w:val="004D2194"/>
    <w:rsid w:val="004D232A"/>
    <w:rsid w:val="004D2514"/>
    <w:rsid w:val="004E2EE5"/>
    <w:rsid w:val="004E53A9"/>
    <w:rsid w:val="004E76A7"/>
    <w:rsid w:val="004F06CE"/>
    <w:rsid w:val="004F0A3A"/>
    <w:rsid w:val="004F3BC5"/>
    <w:rsid w:val="004F5CEE"/>
    <w:rsid w:val="004F6B2F"/>
    <w:rsid w:val="004F7341"/>
    <w:rsid w:val="004F78C1"/>
    <w:rsid w:val="005032AA"/>
    <w:rsid w:val="005064A1"/>
    <w:rsid w:val="00506B99"/>
    <w:rsid w:val="00511139"/>
    <w:rsid w:val="00511F88"/>
    <w:rsid w:val="00512031"/>
    <w:rsid w:val="00512841"/>
    <w:rsid w:val="00513C50"/>
    <w:rsid w:val="0052044A"/>
    <w:rsid w:val="00521657"/>
    <w:rsid w:val="005220DC"/>
    <w:rsid w:val="00524084"/>
    <w:rsid w:val="00525BAD"/>
    <w:rsid w:val="00525C71"/>
    <w:rsid w:val="00527FBC"/>
    <w:rsid w:val="00530A5A"/>
    <w:rsid w:val="005406A7"/>
    <w:rsid w:val="00543A33"/>
    <w:rsid w:val="00546AA6"/>
    <w:rsid w:val="00550708"/>
    <w:rsid w:val="00556AE0"/>
    <w:rsid w:val="005623F6"/>
    <w:rsid w:val="00564E71"/>
    <w:rsid w:val="00564EB3"/>
    <w:rsid w:val="005663E0"/>
    <w:rsid w:val="0057256F"/>
    <w:rsid w:val="00575D0F"/>
    <w:rsid w:val="00575FCA"/>
    <w:rsid w:val="00576DA5"/>
    <w:rsid w:val="00583DC1"/>
    <w:rsid w:val="005856D9"/>
    <w:rsid w:val="00594378"/>
    <w:rsid w:val="00596AF6"/>
    <w:rsid w:val="00597062"/>
    <w:rsid w:val="005A048A"/>
    <w:rsid w:val="005A278A"/>
    <w:rsid w:val="005A27EC"/>
    <w:rsid w:val="005A2A7B"/>
    <w:rsid w:val="005A3B2E"/>
    <w:rsid w:val="005A4973"/>
    <w:rsid w:val="005B0079"/>
    <w:rsid w:val="005B0F49"/>
    <w:rsid w:val="005B3EDA"/>
    <w:rsid w:val="005B4445"/>
    <w:rsid w:val="005B55A0"/>
    <w:rsid w:val="005B6F93"/>
    <w:rsid w:val="005B77FB"/>
    <w:rsid w:val="005C020F"/>
    <w:rsid w:val="005C1969"/>
    <w:rsid w:val="005C3D39"/>
    <w:rsid w:val="005C7202"/>
    <w:rsid w:val="005C7631"/>
    <w:rsid w:val="005D2E19"/>
    <w:rsid w:val="005D37FD"/>
    <w:rsid w:val="005D4FFE"/>
    <w:rsid w:val="005D5B7F"/>
    <w:rsid w:val="005D5FCC"/>
    <w:rsid w:val="005E0D24"/>
    <w:rsid w:val="005E0DDE"/>
    <w:rsid w:val="005E16F4"/>
    <w:rsid w:val="005E183C"/>
    <w:rsid w:val="005E2010"/>
    <w:rsid w:val="005E23AF"/>
    <w:rsid w:val="005E71AE"/>
    <w:rsid w:val="005E77C6"/>
    <w:rsid w:val="005F5C92"/>
    <w:rsid w:val="005F7FA3"/>
    <w:rsid w:val="006010A3"/>
    <w:rsid w:val="006015F4"/>
    <w:rsid w:val="006039BE"/>
    <w:rsid w:val="00604790"/>
    <w:rsid w:val="0061075B"/>
    <w:rsid w:val="00610EA1"/>
    <w:rsid w:val="00611013"/>
    <w:rsid w:val="00615995"/>
    <w:rsid w:val="006224F8"/>
    <w:rsid w:val="00625F30"/>
    <w:rsid w:val="006311B7"/>
    <w:rsid w:val="00635D1D"/>
    <w:rsid w:val="00636B41"/>
    <w:rsid w:val="006404FF"/>
    <w:rsid w:val="00641E92"/>
    <w:rsid w:val="00642DBD"/>
    <w:rsid w:val="00651621"/>
    <w:rsid w:val="0065320E"/>
    <w:rsid w:val="006537D2"/>
    <w:rsid w:val="00656544"/>
    <w:rsid w:val="0065679A"/>
    <w:rsid w:val="0066048D"/>
    <w:rsid w:val="006613AA"/>
    <w:rsid w:val="00664A34"/>
    <w:rsid w:val="00665A31"/>
    <w:rsid w:val="0066795D"/>
    <w:rsid w:val="0067029A"/>
    <w:rsid w:val="0067378A"/>
    <w:rsid w:val="00673F8C"/>
    <w:rsid w:val="0067563A"/>
    <w:rsid w:val="00675A7F"/>
    <w:rsid w:val="00676C81"/>
    <w:rsid w:val="00677AE4"/>
    <w:rsid w:val="00677D46"/>
    <w:rsid w:val="006807BD"/>
    <w:rsid w:val="006809FE"/>
    <w:rsid w:val="00681CAE"/>
    <w:rsid w:val="00683BBF"/>
    <w:rsid w:val="00683E7C"/>
    <w:rsid w:val="00686D53"/>
    <w:rsid w:val="00686DFF"/>
    <w:rsid w:val="006915B4"/>
    <w:rsid w:val="00695B01"/>
    <w:rsid w:val="0069664B"/>
    <w:rsid w:val="006A35FA"/>
    <w:rsid w:val="006A69F9"/>
    <w:rsid w:val="006B12F6"/>
    <w:rsid w:val="006B131B"/>
    <w:rsid w:val="006B2E6E"/>
    <w:rsid w:val="006B7325"/>
    <w:rsid w:val="006B7EE2"/>
    <w:rsid w:val="006C0E62"/>
    <w:rsid w:val="006C1930"/>
    <w:rsid w:val="006C6BC5"/>
    <w:rsid w:val="006D194C"/>
    <w:rsid w:val="006D3AE9"/>
    <w:rsid w:val="006D4046"/>
    <w:rsid w:val="006D7771"/>
    <w:rsid w:val="006D7D77"/>
    <w:rsid w:val="006E091D"/>
    <w:rsid w:val="006E1F74"/>
    <w:rsid w:val="006E2259"/>
    <w:rsid w:val="006E3300"/>
    <w:rsid w:val="006E35A7"/>
    <w:rsid w:val="006E7B2B"/>
    <w:rsid w:val="006F0CC8"/>
    <w:rsid w:val="006F3194"/>
    <w:rsid w:val="006F4C4F"/>
    <w:rsid w:val="006F61C1"/>
    <w:rsid w:val="006F7D2A"/>
    <w:rsid w:val="007072F1"/>
    <w:rsid w:val="00711AA4"/>
    <w:rsid w:val="00711CAD"/>
    <w:rsid w:val="00712886"/>
    <w:rsid w:val="00712A12"/>
    <w:rsid w:val="00714317"/>
    <w:rsid w:val="00717AF1"/>
    <w:rsid w:val="007204D4"/>
    <w:rsid w:val="00720698"/>
    <w:rsid w:val="00720C7B"/>
    <w:rsid w:val="00721522"/>
    <w:rsid w:val="00721CDE"/>
    <w:rsid w:val="007233A3"/>
    <w:rsid w:val="007238E3"/>
    <w:rsid w:val="00725596"/>
    <w:rsid w:val="00727724"/>
    <w:rsid w:val="00727823"/>
    <w:rsid w:val="0073022D"/>
    <w:rsid w:val="0073063A"/>
    <w:rsid w:val="00731DC7"/>
    <w:rsid w:val="0073255C"/>
    <w:rsid w:val="00735733"/>
    <w:rsid w:val="007404FF"/>
    <w:rsid w:val="00741949"/>
    <w:rsid w:val="00742118"/>
    <w:rsid w:val="00742C65"/>
    <w:rsid w:val="00745789"/>
    <w:rsid w:val="00745FE9"/>
    <w:rsid w:val="00746ED1"/>
    <w:rsid w:val="00750FB1"/>
    <w:rsid w:val="00753208"/>
    <w:rsid w:val="007534E5"/>
    <w:rsid w:val="00753900"/>
    <w:rsid w:val="00754DEC"/>
    <w:rsid w:val="00757B68"/>
    <w:rsid w:val="00760CEE"/>
    <w:rsid w:val="00760D02"/>
    <w:rsid w:val="007617ED"/>
    <w:rsid w:val="0076407F"/>
    <w:rsid w:val="00765DAC"/>
    <w:rsid w:val="00766658"/>
    <w:rsid w:val="00767C7C"/>
    <w:rsid w:val="007760AC"/>
    <w:rsid w:val="00777457"/>
    <w:rsid w:val="007777B7"/>
    <w:rsid w:val="00777936"/>
    <w:rsid w:val="00777C83"/>
    <w:rsid w:val="00782CCA"/>
    <w:rsid w:val="00782F82"/>
    <w:rsid w:val="007863C9"/>
    <w:rsid w:val="00793619"/>
    <w:rsid w:val="007942CC"/>
    <w:rsid w:val="0079656F"/>
    <w:rsid w:val="00797E5A"/>
    <w:rsid w:val="007A00EE"/>
    <w:rsid w:val="007A09D4"/>
    <w:rsid w:val="007A24EE"/>
    <w:rsid w:val="007A3AAC"/>
    <w:rsid w:val="007A5A35"/>
    <w:rsid w:val="007B069C"/>
    <w:rsid w:val="007B1667"/>
    <w:rsid w:val="007B30CE"/>
    <w:rsid w:val="007B68B5"/>
    <w:rsid w:val="007B7589"/>
    <w:rsid w:val="007B75BA"/>
    <w:rsid w:val="007C18A4"/>
    <w:rsid w:val="007D0A37"/>
    <w:rsid w:val="007D3C5A"/>
    <w:rsid w:val="007D6474"/>
    <w:rsid w:val="007E16E7"/>
    <w:rsid w:val="007E65C3"/>
    <w:rsid w:val="007F05AC"/>
    <w:rsid w:val="007F0E79"/>
    <w:rsid w:val="007F23A7"/>
    <w:rsid w:val="007F3122"/>
    <w:rsid w:val="007F3BE0"/>
    <w:rsid w:val="007F6C8F"/>
    <w:rsid w:val="008005FD"/>
    <w:rsid w:val="008020D9"/>
    <w:rsid w:val="008032A9"/>
    <w:rsid w:val="00806A07"/>
    <w:rsid w:val="008116DC"/>
    <w:rsid w:val="00814B4A"/>
    <w:rsid w:val="00815A89"/>
    <w:rsid w:val="00815BE4"/>
    <w:rsid w:val="008162D9"/>
    <w:rsid w:val="00822FAA"/>
    <w:rsid w:val="00823562"/>
    <w:rsid w:val="00823B36"/>
    <w:rsid w:val="00826F00"/>
    <w:rsid w:val="00826FD3"/>
    <w:rsid w:val="00830BC8"/>
    <w:rsid w:val="00831F75"/>
    <w:rsid w:val="008328F5"/>
    <w:rsid w:val="00840303"/>
    <w:rsid w:val="00841E0E"/>
    <w:rsid w:val="008435DE"/>
    <w:rsid w:val="00846D7F"/>
    <w:rsid w:val="00846F6D"/>
    <w:rsid w:val="008504B3"/>
    <w:rsid w:val="00852293"/>
    <w:rsid w:val="00852397"/>
    <w:rsid w:val="00852C01"/>
    <w:rsid w:val="008552D8"/>
    <w:rsid w:val="008574E0"/>
    <w:rsid w:val="0086115D"/>
    <w:rsid w:val="00861525"/>
    <w:rsid w:val="0086370E"/>
    <w:rsid w:val="00870FD7"/>
    <w:rsid w:val="00871681"/>
    <w:rsid w:val="00871974"/>
    <w:rsid w:val="00880E44"/>
    <w:rsid w:val="00882E6E"/>
    <w:rsid w:val="0088673D"/>
    <w:rsid w:val="00886820"/>
    <w:rsid w:val="00887C2B"/>
    <w:rsid w:val="00892491"/>
    <w:rsid w:val="00893113"/>
    <w:rsid w:val="00895D56"/>
    <w:rsid w:val="0089757A"/>
    <w:rsid w:val="008A13B6"/>
    <w:rsid w:val="008A2F40"/>
    <w:rsid w:val="008A4A18"/>
    <w:rsid w:val="008A69F0"/>
    <w:rsid w:val="008B2DE2"/>
    <w:rsid w:val="008B42ED"/>
    <w:rsid w:val="008B4B98"/>
    <w:rsid w:val="008B66AB"/>
    <w:rsid w:val="008B67DF"/>
    <w:rsid w:val="008B6F7C"/>
    <w:rsid w:val="008B71C5"/>
    <w:rsid w:val="008C1840"/>
    <w:rsid w:val="008C1EDA"/>
    <w:rsid w:val="008C53B2"/>
    <w:rsid w:val="008C7177"/>
    <w:rsid w:val="008C726D"/>
    <w:rsid w:val="008D189B"/>
    <w:rsid w:val="008D1A6C"/>
    <w:rsid w:val="008D1B6C"/>
    <w:rsid w:val="008D2028"/>
    <w:rsid w:val="008D3291"/>
    <w:rsid w:val="008D4184"/>
    <w:rsid w:val="008D5267"/>
    <w:rsid w:val="008D5465"/>
    <w:rsid w:val="008D7C83"/>
    <w:rsid w:val="008E18C2"/>
    <w:rsid w:val="008E268A"/>
    <w:rsid w:val="008E33DF"/>
    <w:rsid w:val="008E5DB5"/>
    <w:rsid w:val="008E5EFC"/>
    <w:rsid w:val="008F0582"/>
    <w:rsid w:val="008F0D0F"/>
    <w:rsid w:val="008F19E4"/>
    <w:rsid w:val="008F26AE"/>
    <w:rsid w:val="008F45CE"/>
    <w:rsid w:val="008F4E0A"/>
    <w:rsid w:val="008F7091"/>
    <w:rsid w:val="00901341"/>
    <w:rsid w:val="00901DF9"/>
    <w:rsid w:val="009021C7"/>
    <w:rsid w:val="0090415E"/>
    <w:rsid w:val="0090534B"/>
    <w:rsid w:val="0090554E"/>
    <w:rsid w:val="00906D8B"/>
    <w:rsid w:val="0091097F"/>
    <w:rsid w:val="00910B0A"/>
    <w:rsid w:val="00911180"/>
    <w:rsid w:val="00923CEC"/>
    <w:rsid w:val="00935CEB"/>
    <w:rsid w:val="0093781E"/>
    <w:rsid w:val="00947B29"/>
    <w:rsid w:val="00947F14"/>
    <w:rsid w:val="00950EEB"/>
    <w:rsid w:val="009526B5"/>
    <w:rsid w:val="009572CE"/>
    <w:rsid w:val="00964981"/>
    <w:rsid w:val="00966001"/>
    <w:rsid w:val="00966CD1"/>
    <w:rsid w:val="00966F42"/>
    <w:rsid w:val="009734A4"/>
    <w:rsid w:val="00975BDC"/>
    <w:rsid w:val="00977A18"/>
    <w:rsid w:val="00984A72"/>
    <w:rsid w:val="00986015"/>
    <w:rsid w:val="00986498"/>
    <w:rsid w:val="00987982"/>
    <w:rsid w:val="00990792"/>
    <w:rsid w:val="00993014"/>
    <w:rsid w:val="00993B5D"/>
    <w:rsid w:val="00994362"/>
    <w:rsid w:val="009975CF"/>
    <w:rsid w:val="009A019F"/>
    <w:rsid w:val="009A1174"/>
    <w:rsid w:val="009A35D0"/>
    <w:rsid w:val="009A428E"/>
    <w:rsid w:val="009A767E"/>
    <w:rsid w:val="009A7C4E"/>
    <w:rsid w:val="009B1E96"/>
    <w:rsid w:val="009B6371"/>
    <w:rsid w:val="009C7E8A"/>
    <w:rsid w:val="009D11C1"/>
    <w:rsid w:val="009D23D1"/>
    <w:rsid w:val="009D2EA6"/>
    <w:rsid w:val="009D3569"/>
    <w:rsid w:val="009D61BD"/>
    <w:rsid w:val="009D67A9"/>
    <w:rsid w:val="009E0063"/>
    <w:rsid w:val="009E1381"/>
    <w:rsid w:val="009E1751"/>
    <w:rsid w:val="009E1C1E"/>
    <w:rsid w:val="009E4E66"/>
    <w:rsid w:val="009E6850"/>
    <w:rsid w:val="009F0150"/>
    <w:rsid w:val="009F1192"/>
    <w:rsid w:val="009F1CB6"/>
    <w:rsid w:val="009F2FB7"/>
    <w:rsid w:val="009F3659"/>
    <w:rsid w:val="009F378F"/>
    <w:rsid w:val="009F5959"/>
    <w:rsid w:val="009F5FDD"/>
    <w:rsid w:val="009F6DBC"/>
    <w:rsid w:val="009F7CB0"/>
    <w:rsid w:val="00A01D9E"/>
    <w:rsid w:val="00A0249F"/>
    <w:rsid w:val="00A03692"/>
    <w:rsid w:val="00A049A1"/>
    <w:rsid w:val="00A04C8E"/>
    <w:rsid w:val="00A07962"/>
    <w:rsid w:val="00A07D08"/>
    <w:rsid w:val="00A07E37"/>
    <w:rsid w:val="00A10D36"/>
    <w:rsid w:val="00A11444"/>
    <w:rsid w:val="00A118C0"/>
    <w:rsid w:val="00A11D5A"/>
    <w:rsid w:val="00A12BC9"/>
    <w:rsid w:val="00A14230"/>
    <w:rsid w:val="00A1540A"/>
    <w:rsid w:val="00A155C2"/>
    <w:rsid w:val="00A22C3B"/>
    <w:rsid w:val="00A23556"/>
    <w:rsid w:val="00A23EA9"/>
    <w:rsid w:val="00A2598B"/>
    <w:rsid w:val="00A27010"/>
    <w:rsid w:val="00A271A3"/>
    <w:rsid w:val="00A33A15"/>
    <w:rsid w:val="00A33DE4"/>
    <w:rsid w:val="00A34ADE"/>
    <w:rsid w:val="00A351AE"/>
    <w:rsid w:val="00A363DE"/>
    <w:rsid w:val="00A41765"/>
    <w:rsid w:val="00A44138"/>
    <w:rsid w:val="00A46DB1"/>
    <w:rsid w:val="00A50097"/>
    <w:rsid w:val="00A60CBA"/>
    <w:rsid w:val="00A61C73"/>
    <w:rsid w:val="00A62635"/>
    <w:rsid w:val="00A63C5D"/>
    <w:rsid w:val="00A6726F"/>
    <w:rsid w:val="00A679CC"/>
    <w:rsid w:val="00A707E1"/>
    <w:rsid w:val="00A71EAB"/>
    <w:rsid w:val="00A7383E"/>
    <w:rsid w:val="00A76A4A"/>
    <w:rsid w:val="00A777D8"/>
    <w:rsid w:val="00A77AD4"/>
    <w:rsid w:val="00A77D7C"/>
    <w:rsid w:val="00A80213"/>
    <w:rsid w:val="00A80289"/>
    <w:rsid w:val="00A83FD0"/>
    <w:rsid w:val="00A84D1D"/>
    <w:rsid w:val="00A85FE0"/>
    <w:rsid w:val="00A901E9"/>
    <w:rsid w:val="00AA2B15"/>
    <w:rsid w:val="00AA3432"/>
    <w:rsid w:val="00AA405D"/>
    <w:rsid w:val="00AA66F9"/>
    <w:rsid w:val="00AB09D6"/>
    <w:rsid w:val="00AB0E22"/>
    <w:rsid w:val="00AB1285"/>
    <w:rsid w:val="00AB26E9"/>
    <w:rsid w:val="00AB2740"/>
    <w:rsid w:val="00AB44C1"/>
    <w:rsid w:val="00AB70FE"/>
    <w:rsid w:val="00AB7A0D"/>
    <w:rsid w:val="00AB7B40"/>
    <w:rsid w:val="00AC2802"/>
    <w:rsid w:val="00AC7515"/>
    <w:rsid w:val="00AC79B2"/>
    <w:rsid w:val="00AD2796"/>
    <w:rsid w:val="00AD4611"/>
    <w:rsid w:val="00AD56AC"/>
    <w:rsid w:val="00AD6832"/>
    <w:rsid w:val="00AD68C7"/>
    <w:rsid w:val="00AE0F1C"/>
    <w:rsid w:val="00AE2A2C"/>
    <w:rsid w:val="00AE34E4"/>
    <w:rsid w:val="00AF0097"/>
    <w:rsid w:val="00AF4271"/>
    <w:rsid w:val="00AF7408"/>
    <w:rsid w:val="00B008B7"/>
    <w:rsid w:val="00B01E73"/>
    <w:rsid w:val="00B02581"/>
    <w:rsid w:val="00B02AA3"/>
    <w:rsid w:val="00B045A9"/>
    <w:rsid w:val="00B04C94"/>
    <w:rsid w:val="00B1308F"/>
    <w:rsid w:val="00B1322A"/>
    <w:rsid w:val="00B1399D"/>
    <w:rsid w:val="00B14E16"/>
    <w:rsid w:val="00B15259"/>
    <w:rsid w:val="00B16361"/>
    <w:rsid w:val="00B20485"/>
    <w:rsid w:val="00B21DC0"/>
    <w:rsid w:val="00B22E47"/>
    <w:rsid w:val="00B260C7"/>
    <w:rsid w:val="00B26DF4"/>
    <w:rsid w:val="00B30A5B"/>
    <w:rsid w:val="00B30C53"/>
    <w:rsid w:val="00B33E08"/>
    <w:rsid w:val="00B34E56"/>
    <w:rsid w:val="00B37EA2"/>
    <w:rsid w:val="00B37EBC"/>
    <w:rsid w:val="00B4077C"/>
    <w:rsid w:val="00B447F6"/>
    <w:rsid w:val="00B45B10"/>
    <w:rsid w:val="00B462AD"/>
    <w:rsid w:val="00B5208B"/>
    <w:rsid w:val="00B5405A"/>
    <w:rsid w:val="00B54202"/>
    <w:rsid w:val="00B553AF"/>
    <w:rsid w:val="00B61340"/>
    <w:rsid w:val="00B63E9C"/>
    <w:rsid w:val="00B64679"/>
    <w:rsid w:val="00B64EAB"/>
    <w:rsid w:val="00B666A5"/>
    <w:rsid w:val="00B66C92"/>
    <w:rsid w:val="00B70228"/>
    <w:rsid w:val="00B774C2"/>
    <w:rsid w:val="00B803FC"/>
    <w:rsid w:val="00B80A30"/>
    <w:rsid w:val="00B811EA"/>
    <w:rsid w:val="00B8320C"/>
    <w:rsid w:val="00B848A8"/>
    <w:rsid w:val="00B90F8A"/>
    <w:rsid w:val="00B9159E"/>
    <w:rsid w:val="00B95238"/>
    <w:rsid w:val="00B96A76"/>
    <w:rsid w:val="00BA1097"/>
    <w:rsid w:val="00BA1CFF"/>
    <w:rsid w:val="00BA3383"/>
    <w:rsid w:val="00BA4C23"/>
    <w:rsid w:val="00BA56D9"/>
    <w:rsid w:val="00BA6813"/>
    <w:rsid w:val="00BA71EA"/>
    <w:rsid w:val="00BA7B19"/>
    <w:rsid w:val="00BB1868"/>
    <w:rsid w:val="00BB380A"/>
    <w:rsid w:val="00BB7AFC"/>
    <w:rsid w:val="00BB7D06"/>
    <w:rsid w:val="00BC64A2"/>
    <w:rsid w:val="00BC7551"/>
    <w:rsid w:val="00BC7B26"/>
    <w:rsid w:val="00BD14ED"/>
    <w:rsid w:val="00BD16F0"/>
    <w:rsid w:val="00BD482C"/>
    <w:rsid w:val="00BD4AC8"/>
    <w:rsid w:val="00BE05BA"/>
    <w:rsid w:val="00BE31F8"/>
    <w:rsid w:val="00BE3D35"/>
    <w:rsid w:val="00BF13E5"/>
    <w:rsid w:val="00BF1A95"/>
    <w:rsid w:val="00BF3B98"/>
    <w:rsid w:val="00C033C4"/>
    <w:rsid w:val="00C0589A"/>
    <w:rsid w:val="00C05CC0"/>
    <w:rsid w:val="00C107CB"/>
    <w:rsid w:val="00C12D14"/>
    <w:rsid w:val="00C15FBC"/>
    <w:rsid w:val="00C16E0C"/>
    <w:rsid w:val="00C17CEE"/>
    <w:rsid w:val="00C21B9D"/>
    <w:rsid w:val="00C2751A"/>
    <w:rsid w:val="00C30637"/>
    <w:rsid w:val="00C30BB1"/>
    <w:rsid w:val="00C31EA6"/>
    <w:rsid w:val="00C32D78"/>
    <w:rsid w:val="00C32E1B"/>
    <w:rsid w:val="00C33680"/>
    <w:rsid w:val="00C37C0D"/>
    <w:rsid w:val="00C41859"/>
    <w:rsid w:val="00C43184"/>
    <w:rsid w:val="00C433CE"/>
    <w:rsid w:val="00C4394D"/>
    <w:rsid w:val="00C43C85"/>
    <w:rsid w:val="00C43CB1"/>
    <w:rsid w:val="00C51591"/>
    <w:rsid w:val="00C515D4"/>
    <w:rsid w:val="00C5240C"/>
    <w:rsid w:val="00C53473"/>
    <w:rsid w:val="00C53C77"/>
    <w:rsid w:val="00C610FA"/>
    <w:rsid w:val="00C6177A"/>
    <w:rsid w:val="00C62360"/>
    <w:rsid w:val="00C630BF"/>
    <w:rsid w:val="00C66C27"/>
    <w:rsid w:val="00C7045D"/>
    <w:rsid w:val="00C71B34"/>
    <w:rsid w:val="00C73204"/>
    <w:rsid w:val="00C739B8"/>
    <w:rsid w:val="00C77E7D"/>
    <w:rsid w:val="00C8018F"/>
    <w:rsid w:val="00C8072E"/>
    <w:rsid w:val="00C81BBD"/>
    <w:rsid w:val="00C84A55"/>
    <w:rsid w:val="00C85905"/>
    <w:rsid w:val="00C90779"/>
    <w:rsid w:val="00C90B03"/>
    <w:rsid w:val="00C92612"/>
    <w:rsid w:val="00C93E91"/>
    <w:rsid w:val="00C95111"/>
    <w:rsid w:val="00C9542C"/>
    <w:rsid w:val="00CA0DE7"/>
    <w:rsid w:val="00CA1A27"/>
    <w:rsid w:val="00CA1A63"/>
    <w:rsid w:val="00CA3D54"/>
    <w:rsid w:val="00CA4854"/>
    <w:rsid w:val="00CA66DF"/>
    <w:rsid w:val="00CB2C39"/>
    <w:rsid w:val="00CB3FD9"/>
    <w:rsid w:val="00CC2012"/>
    <w:rsid w:val="00CC255B"/>
    <w:rsid w:val="00CD0AC8"/>
    <w:rsid w:val="00CD2DD6"/>
    <w:rsid w:val="00CD5070"/>
    <w:rsid w:val="00CE0642"/>
    <w:rsid w:val="00CE08CF"/>
    <w:rsid w:val="00CE0E04"/>
    <w:rsid w:val="00CE2EF2"/>
    <w:rsid w:val="00CE3589"/>
    <w:rsid w:val="00D03836"/>
    <w:rsid w:val="00D03E11"/>
    <w:rsid w:val="00D05317"/>
    <w:rsid w:val="00D0557B"/>
    <w:rsid w:val="00D0570E"/>
    <w:rsid w:val="00D06BF4"/>
    <w:rsid w:val="00D06D08"/>
    <w:rsid w:val="00D20D27"/>
    <w:rsid w:val="00D20EE2"/>
    <w:rsid w:val="00D22F91"/>
    <w:rsid w:val="00D23B80"/>
    <w:rsid w:val="00D240CF"/>
    <w:rsid w:val="00D27274"/>
    <w:rsid w:val="00D30FDB"/>
    <w:rsid w:val="00D31BCB"/>
    <w:rsid w:val="00D32692"/>
    <w:rsid w:val="00D33C0A"/>
    <w:rsid w:val="00D36E45"/>
    <w:rsid w:val="00D377B3"/>
    <w:rsid w:val="00D37AC5"/>
    <w:rsid w:val="00D37B5E"/>
    <w:rsid w:val="00D417D4"/>
    <w:rsid w:val="00D418E0"/>
    <w:rsid w:val="00D45336"/>
    <w:rsid w:val="00D45690"/>
    <w:rsid w:val="00D46A83"/>
    <w:rsid w:val="00D5271E"/>
    <w:rsid w:val="00D53722"/>
    <w:rsid w:val="00D54301"/>
    <w:rsid w:val="00D54B1E"/>
    <w:rsid w:val="00D54F35"/>
    <w:rsid w:val="00D63536"/>
    <w:rsid w:val="00D674F0"/>
    <w:rsid w:val="00D73BE5"/>
    <w:rsid w:val="00D77A37"/>
    <w:rsid w:val="00D77F95"/>
    <w:rsid w:val="00D82E18"/>
    <w:rsid w:val="00D83CF3"/>
    <w:rsid w:val="00D87E08"/>
    <w:rsid w:val="00D90CB3"/>
    <w:rsid w:val="00D91B63"/>
    <w:rsid w:val="00D927F3"/>
    <w:rsid w:val="00D931CF"/>
    <w:rsid w:val="00D94560"/>
    <w:rsid w:val="00D95C33"/>
    <w:rsid w:val="00D972B2"/>
    <w:rsid w:val="00D97FA6"/>
    <w:rsid w:val="00DA1978"/>
    <w:rsid w:val="00DA3E6B"/>
    <w:rsid w:val="00DB0662"/>
    <w:rsid w:val="00DB3A4C"/>
    <w:rsid w:val="00DB440A"/>
    <w:rsid w:val="00DB56D5"/>
    <w:rsid w:val="00DB7E76"/>
    <w:rsid w:val="00DC08EF"/>
    <w:rsid w:val="00DC33B1"/>
    <w:rsid w:val="00DC3BD5"/>
    <w:rsid w:val="00DC3DA5"/>
    <w:rsid w:val="00DC4F4D"/>
    <w:rsid w:val="00DC59E9"/>
    <w:rsid w:val="00DC7CDA"/>
    <w:rsid w:val="00DD0E35"/>
    <w:rsid w:val="00DD4107"/>
    <w:rsid w:val="00DD4736"/>
    <w:rsid w:val="00DD5BED"/>
    <w:rsid w:val="00DD5D56"/>
    <w:rsid w:val="00DD6B44"/>
    <w:rsid w:val="00DD701C"/>
    <w:rsid w:val="00DE116A"/>
    <w:rsid w:val="00DE1EA3"/>
    <w:rsid w:val="00DE54FD"/>
    <w:rsid w:val="00DE6327"/>
    <w:rsid w:val="00DE678A"/>
    <w:rsid w:val="00DE7230"/>
    <w:rsid w:val="00DF0869"/>
    <w:rsid w:val="00DF215F"/>
    <w:rsid w:val="00DF48EE"/>
    <w:rsid w:val="00DF58A6"/>
    <w:rsid w:val="00DF6459"/>
    <w:rsid w:val="00DF6ABF"/>
    <w:rsid w:val="00E055BE"/>
    <w:rsid w:val="00E06903"/>
    <w:rsid w:val="00E11E3F"/>
    <w:rsid w:val="00E1399E"/>
    <w:rsid w:val="00E13E3E"/>
    <w:rsid w:val="00E1566C"/>
    <w:rsid w:val="00E15B6D"/>
    <w:rsid w:val="00E15DA1"/>
    <w:rsid w:val="00E17138"/>
    <w:rsid w:val="00E17B99"/>
    <w:rsid w:val="00E21780"/>
    <w:rsid w:val="00E25432"/>
    <w:rsid w:val="00E25A38"/>
    <w:rsid w:val="00E270B3"/>
    <w:rsid w:val="00E27718"/>
    <w:rsid w:val="00E3367C"/>
    <w:rsid w:val="00E337F5"/>
    <w:rsid w:val="00E33A2F"/>
    <w:rsid w:val="00E35059"/>
    <w:rsid w:val="00E3521F"/>
    <w:rsid w:val="00E35BCE"/>
    <w:rsid w:val="00E40CF7"/>
    <w:rsid w:val="00E42450"/>
    <w:rsid w:val="00E442F0"/>
    <w:rsid w:val="00E44A9F"/>
    <w:rsid w:val="00E461B0"/>
    <w:rsid w:val="00E50162"/>
    <w:rsid w:val="00E5168A"/>
    <w:rsid w:val="00E5469D"/>
    <w:rsid w:val="00E555AF"/>
    <w:rsid w:val="00E57E15"/>
    <w:rsid w:val="00E62CB8"/>
    <w:rsid w:val="00E66B00"/>
    <w:rsid w:val="00E76300"/>
    <w:rsid w:val="00E772DB"/>
    <w:rsid w:val="00E817A6"/>
    <w:rsid w:val="00E86A15"/>
    <w:rsid w:val="00E90BBF"/>
    <w:rsid w:val="00E9555F"/>
    <w:rsid w:val="00E96B36"/>
    <w:rsid w:val="00E976F5"/>
    <w:rsid w:val="00EA2830"/>
    <w:rsid w:val="00EA4A7C"/>
    <w:rsid w:val="00EA6501"/>
    <w:rsid w:val="00EA747C"/>
    <w:rsid w:val="00EA7ECB"/>
    <w:rsid w:val="00EB035A"/>
    <w:rsid w:val="00EB0561"/>
    <w:rsid w:val="00EB0A93"/>
    <w:rsid w:val="00EB105E"/>
    <w:rsid w:val="00EB230E"/>
    <w:rsid w:val="00EB4F86"/>
    <w:rsid w:val="00EB6258"/>
    <w:rsid w:val="00EC41AA"/>
    <w:rsid w:val="00EC6CA3"/>
    <w:rsid w:val="00EC7276"/>
    <w:rsid w:val="00ED0FE1"/>
    <w:rsid w:val="00ED275F"/>
    <w:rsid w:val="00ED3C76"/>
    <w:rsid w:val="00ED7DAC"/>
    <w:rsid w:val="00EE1C37"/>
    <w:rsid w:val="00EE3B17"/>
    <w:rsid w:val="00EE6513"/>
    <w:rsid w:val="00EF09C5"/>
    <w:rsid w:val="00EF2F72"/>
    <w:rsid w:val="00EF34F9"/>
    <w:rsid w:val="00EF390A"/>
    <w:rsid w:val="00F0060D"/>
    <w:rsid w:val="00F00D25"/>
    <w:rsid w:val="00F01094"/>
    <w:rsid w:val="00F02AD6"/>
    <w:rsid w:val="00F0483C"/>
    <w:rsid w:val="00F10DD2"/>
    <w:rsid w:val="00F121DC"/>
    <w:rsid w:val="00F12F64"/>
    <w:rsid w:val="00F1415B"/>
    <w:rsid w:val="00F21607"/>
    <w:rsid w:val="00F236F0"/>
    <w:rsid w:val="00F30E72"/>
    <w:rsid w:val="00F31BAA"/>
    <w:rsid w:val="00F320A8"/>
    <w:rsid w:val="00F32B9E"/>
    <w:rsid w:val="00F33330"/>
    <w:rsid w:val="00F34C58"/>
    <w:rsid w:val="00F4080C"/>
    <w:rsid w:val="00F42157"/>
    <w:rsid w:val="00F423B1"/>
    <w:rsid w:val="00F443F7"/>
    <w:rsid w:val="00F463B6"/>
    <w:rsid w:val="00F479D3"/>
    <w:rsid w:val="00F47A1B"/>
    <w:rsid w:val="00F631DF"/>
    <w:rsid w:val="00F64DDB"/>
    <w:rsid w:val="00F65155"/>
    <w:rsid w:val="00F70CFE"/>
    <w:rsid w:val="00F70D56"/>
    <w:rsid w:val="00F71543"/>
    <w:rsid w:val="00F74D81"/>
    <w:rsid w:val="00F7503D"/>
    <w:rsid w:val="00F75AD0"/>
    <w:rsid w:val="00F75BDC"/>
    <w:rsid w:val="00F765F4"/>
    <w:rsid w:val="00F77306"/>
    <w:rsid w:val="00F818AE"/>
    <w:rsid w:val="00F974A2"/>
    <w:rsid w:val="00FA0082"/>
    <w:rsid w:val="00FA016C"/>
    <w:rsid w:val="00FA2DE0"/>
    <w:rsid w:val="00FB1186"/>
    <w:rsid w:val="00FB120F"/>
    <w:rsid w:val="00FB327B"/>
    <w:rsid w:val="00FB38BA"/>
    <w:rsid w:val="00FB69DA"/>
    <w:rsid w:val="00FC1102"/>
    <w:rsid w:val="00FC16A8"/>
    <w:rsid w:val="00FC27AF"/>
    <w:rsid w:val="00FC43D8"/>
    <w:rsid w:val="00FC483E"/>
    <w:rsid w:val="00FC70D2"/>
    <w:rsid w:val="00FC7A83"/>
    <w:rsid w:val="00FD0442"/>
    <w:rsid w:val="00FD228B"/>
    <w:rsid w:val="00FD45CB"/>
    <w:rsid w:val="00FD6E01"/>
    <w:rsid w:val="00FD7C01"/>
    <w:rsid w:val="00FD7FE9"/>
    <w:rsid w:val="00FE1345"/>
    <w:rsid w:val="00FE37AB"/>
    <w:rsid w:val="00FE3995"/>
    <w:rsid w:val="00FE3B3F"/>
    <w:rsid w:val="00FE740C"/>
    <w:rsid w:val="00FF3517"/>
    <w:rsid w:val="00FF7161"/>
    <w:rsid w:val="00FF78ED"/>
    <w:rsid w:val="00FF7B32"/>
  </w:rsids>
  <m:mathPr>
    <m:mathFont m:val="Cambria Math"/>
    <m:brkBin m:val="before"/>
    <m:brkBinSub m:val="--"/>
    <m:smallFrac m:val="0"/>
    <m:dispDef/>
    <m:lMargin m:val="0"/>
    <m:rMargin m:val="0"/>
    <m:defJc m:val="centerGroup"/>
    <m:wrapIndent m:val="1440"/>
    <m:intLim m:val="subSup"/>
    <m:naryLim m:val="undOvr"/>
  </m:mathPr>
  <w:themeFontLang w:val="el-GR"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D2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F89"/>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2169A"/>
    <w:pPr>
      <w:tabs>
        <w:tab w:val="center" w:pos="4153"/>
        <w:tab w:val="right" w:pos="8306"/>
      </w:tabs>
    </w:pPr>
  </w:style>
  <w:style w:type="character" w:customStyle="1" w:styleId="HeaderChar">
    <w:name w:val="Header Char"/>
    <w:basedOn w:val="DefaultParagraphFont"/>
    <w:link w:val="Header"/>
    <w:uiPriority w:val="99"/>
    <w:rsid w:val="0002169A"/>
  </w:style>
  <w:style w:type="paragraph" w:styleId="Revision">
    <w:name w:val="Revision"/>
    <w:hidden/>
    <w:uiPriority w:val="99"/>
    <w:semiHidden/>
    <w:rsid w:val="00513C50"/>
  </w:style>
  <w:style w:type="paragraph" w:styleId="Footer">
    <w:name w:val="footer"/>
    <w:basedOn w:val="Normal"/>
    <w:link w:val="FooterChar"/>
    <w:uiPriority w:val="99"/>
    <w:unhideWhenUsed/>
    <w:rsid w:val="00ED275F"/>
    <w:pPr>
      <w:tabs>
        <w:tab w:val="center" w:pos="4153"/>
        <w:tab w:val="right" w:pos="8306"/>
      </w:tabs>
    </w:pPr>
  </w:style>
  <w:style w:type="character" w:customStyle="1" w:styleId="FooterChar">
    <w:name w:val="Footer Char"/>
    <w:basedOn w:val="DefaultParagraphFont"/>
    <w:link w:val="Footer"/>
    <w:uiPriority w:val="99"/>
    <w:rsid w:val="00ED275F"/>
  </w:style>
  <w:style w:type="paragraph" w:styleId="NormalWeb">
    <w:name w:val="Normal (Web)"/>
    <w:basedOn w:val="Normal"/>
    <w:uiPriority w:val="99"/>
    <w:semiHidden/>
    <w:unhideWhenUsed/>
    <w:rsid w:val="00F320A8"/>
    <w:rPr>
      <w:rFonts w:ascii="Times New Roman" w:hAnsi="Times New Roman" w:cs="Times New Roman"/>
      <w:sz w:val="24"/>
      <w:szCs w:val="24"/>
    </w:rPr>
  </w:style>
  <w:style w:type="paragraph" w:styleId="IntenseQuote">
    <w:name w:val="Intense Quote"/>
    <w:basedOn w:val="Normal"/>
    <w:next w:val="Normal"/>
    <w:link w:val="IntenseQuoteChar"/>
    <w:uiPriority w:val="30"/>
    <w:qFormat/>
    <w:rsid w:val="00DA3E6B"/>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DA3E6B"/>
    <w:rPr>
      <w:i/>
      <w:iCs/>
      <w:color w:val="156082" w:themeColor="accent1"/>
    </w:rPr>
  </w:style>
  <w:style w:type="table" w:styleId="TableGrid">
    <w:name w:val="Table Grid"/>
    <w:basedOn w:val="TableNormal"/>
    <w:uiPriority w:val="39"/>
    <w:rsid w:val="005B0F49"/>
    <w:rPr>
      <w:rFonts w:asciiTheme="minorHAnsi" w:eastAsiaTheme="minorHAnsi" w:hAnsiTheme="minorHAnsi" w:cstheme="minorBidi"/>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8F45CE"/>
    <w:rPr>
      <w:i/>
      <w:iCs/>
      <w:color w:val="156082" w:themeColor="accent1"/>
    </w:rPr>
  </w:style>
  <w:style w:type="character" w:styleId="CommentReference">
    <w:name w:val="annotation reference"/>
    <w:basedOn w:val="DefaultParagraphFont"/>
    <w:uiPriority w:val="99"/>
    <w:semiHidden/>
    <w:unhideWhenUsed/>
    <w:rsid w:val="000F6BE9"/>
    <w:rPr>
      <w:sz w:val="16"/>
      <w:szCs w:val="16"/>
    </w:rPr>
  </w:style>
  <w:style w:type="paragraph" w:styleId="CommentText">
    <w:name w:val="annotation text"/>
    <w:basedOn w:val="Normal"/>
    <w:link w:val="CommentTextChar"/>
    <w:uiPriority w:val="99"/>
    <w:unhideWhenUsed/>
    <w:rsid w:val="000F6BE9"/>
  </w:style>
  <w:style w:type="character" w:customStyle="1" w:styleId="CommentTextChar">
    <w:name w:val="Comment Text Char"/>
    <w:basedOn w:val="DefaultParagraphFont"/>
    <w:link w:val="CommentText"/>
    <w:uiPriority w:val="99"/>
    <w:rsid w:val="000F6BE9"/>
  </w:style>
  <w:style w:type="paragraph" w:styleId="CommentSubject">
    <w:name w:val="annotation subject"/>
    <w:basedOn w:val="CommentText"/>
    <w:next w:val="CommentText"/>
    <w:link w:val="CommentSubjectChar"/>
    <w:uiPriority w:val="99"/>
    <w:semiHidden/>
    <w:unhideWhenUsed/>
    <w:rsid w:val="000F6BE9"/>
    <w:rPr>
      <w:b/>
      <w:bCs/>
    </w:rPr>
  </w:style>
  <w:style w:type="character" w:customStyle="1" w:styleId="CommentSubjectChar">
    <w:name w:val="Comment Subject Char"/>
    <w:basedOn w:val="CommentTextChar"/>
    <w:link w:val="CommentSubject"/>
    <w:uiPriority w:val="99"/>
    <w:semiHidden/>
    <w:rsid w:val="000F6BE9"/>
    <w:rPr>
      <w:b/>
      <w:bCs/>
    </w:rPr>
  </w:style>
  <w:style w:type="character" w:customStyle="1" w:styleId="UnresolvedMention1">
    <w:name w:val="Unresolved Mention1"/>
    <w:basedOn w:val="DefaultParagraphFont"/>
    <w:uiPriority w:val="99"/>
    <w:semiHidden/>
    <w:unhideWhenUsed/>
    <w:rsid w:val="00B848A8"/>
    <w:rPr>
      <w:color w:val="605E5C"/>
      <w:shd w:val="clear" w:color="auto" w:fill="E1DFDD"/>
    </w:rPr>
  </w:style>
  <w:style w:type="paragraph" w:styleId="HTMLPreformatted">
    <w:name w:val="HTML Preformatted"/>
    <w:basedOn w:val="Normal"/>
    <w:link w:val="HTMLPreformattedChar"/>
    <w:uiPriority w:val="99"/>
    <w:semiHidden/>
    <w:unhideWhenUsed/>
    <w:rsid w:val="0065320E"/>
    <w:rPr>
      <w:rFonts w:ascii="Consolas" w:hAnsi="Consolas"/>
    </w:rPr>
  </w:style>
  <w:style w:type="character" w:customStyle="1" w:styleId="HTMLPreformattedChar">
    <w:name w:val="HTML Preformatted Char"/>
    <w:basedOn w:val="DefaultParagraphFont"/>
    <w:link w:val="HTMLPreformatted"/>
    <w:uiPriority w:val="99"/>
    <w:semiHidden/>
    <w:rsid w:val="0065320E"/>
    <w:rPr>
      <w:rFonts w:ascii="Consolas" w:hAnsi="Consolas"/>
    </w:rPr>
  </w:style>
  <w:style w:type="paragraph" w:styleId="BalloonText">
    <w:name w:val="Balloon Text"/>
    <w:basedOn w:val="Normal"/>
    <w:link w:val="BalloonTextChar"/>
    <w:uiPriority w:val="99"/>
    <w:semiHidden/>
    <w:unhideWhenUsed/>
    <w:rsid w:val="00966F42"/>
    <w:rPr>
      <w:rFonts w:ascii="Tahoma" w:hAnsi="Tahoma" w:cs="Tahoma"/>
      <w:sz w:val="16"/>
      <w:szCs w:val="16"/>
    </w:rPr>
  </w:style>
  <w:style w:type="character" w:customStyle="1" w:styleId="BalloonTextChar">
    <w:name w:val="Balloon Text Char"/>
    <w:basedOn w:val="DefaultParagraphFont"/>
    <w:link w:val="BalloonText"/>
    <w:uiPriority w:val="99"/>
    <w:semiHidden/>
    <w:rsid w:val="00966F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8.sv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sv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header" Target="header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eargiri\AppData\Local\Microsoft\Windows\INetCache\Content.Outlook\ECEOHXWN\policy%20and%20inflatio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krokida\Desktop\policy%20and%20infla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636090449168162E-2"/>
          <c:y val="4.5614022485419951E-2"/>
          <c:w val="0.93864008105706154"/>
          <c:h val="0.80307589361074916"/>
        </c:manualLayout>
      </c:layout>
      <c:lineChart>
        <c:grouping val="standard"/>
        <c:varyColors val="0"/>
        <c:ser>
          <c:idx val="0"/>
          <c:order val="0"/>
          <c:tx>
            <c:strRef>
              <c:f>inflation!$B$2</c:f>
              <c:strCache>
                <c:ptCount val="1"/>
                <c:pt idx="0">
                  <c:v>Πληθωρισμός Ελλάδας</c:v>
                </c:pt>
              </c:strCache>
            </c:strRef>
          </c:tx>
          <c:spPr>
            <a:ln w="28575" cap="rnd">
              <a:solidFill>
                <a:schemeClr val="accent1"/>
              </a:solidFill>
              <a:round/>
            </a:ln>
            <a:effectLst/>
          </c:spPr>
          <c:marker>
            <c:symbol val="none"/>
          </c:marker>
          <c:cat>
            <c:numRef>
              <c:f>inflation!$A$3:$A$317</c:f>
              <c:numCache>
                <c:formatCode>yyyy\-mm</c:formatCode>
                <c:ptCount val="315"/>
                <c:pt idx="0">
                  <c:v>36526</c:v>
                </c:pt>
                <c:pt idx="1">
                  <c:v>36557</c:v>
                </c:pt>
                <c:pt idx="2">
                  <c:v>36586</c:v>
                </c:pt>
                <c:pt idx="3">
                  <c:v>36617</c:v>
                </c:pt>
                <c:pt idx="4">
                  <c:v>36647</c:v>
                </c:pt>
                <c:pt idx="5">
                  <c:v>36678</c:v>
                </c:pt>
                <c:pt idx="6">
                  <c:v>36708</c:v>
                </c:pt>
                <c:pt idx="7">
                  <c:v>36739</c:v>
                </c:pt>
                <c:pt idx="8">
                  <c:v>36770</c:v>
                </c:pt>
                <c:pt idx="9">
                  <c:v>36800</c:v>
                </c:pt>
                <c:pt idx="10">
                  <c:v>36831</c:v>
                </c:pt>
                <c:pt idx="11">
                  <c:v>36861</c:v>
                </c:pt>
                <c:pt idx="12">
                  <c:v>36892</c:v>
                </c:pt>
                <c:pt idx="13">
                  <c:v>36923</c:v>
                </c:pt>
                <c:pt idx="14">
                  <c:v>36951</c:v>
                </c:pt>
                <c:pt idx="15">
                  <c:v>36982</c:v>
                </c:pt>
                <c:pt idx="16">
                  <c:v>37012</c:v>
                </c:pt>
                <c:pt idx="17">
                  <c:v>37043</c:v>
                </c:pt>
                <c:pt idx="18">
                  <c:v>37073</c:v>
                </c:pt>
                <c:pt idx="19">
                  <c:v>37104</c:v>
                </c:pt>
                <c:pt idx="20">
                  <c:v>37135</c:v>
                </c:pt>
                <c:pt idx="21">
                  <c:v>37165</c:v>
                </c:pt>
                <c:pt idx="22">
                  <c:v>37196</c:v>
                </c:pt>
                <c:pt idx="23">
                  <c:v>37226</c:v>
                </c:pt>
                <c:pt idx="24">
                  <c:v>37257</c:v>
                </c:pt>
                <c:pt idx="25">
                  <c:v>37288</c:v>
                </c:pt>
                <c:pt idx="26">
                  <c:v>37316</c:v>
                </c:pt>
                <c:pt idx="27">
                  <c:v>37347</c:v>
                </c:pt>
                <c:pt idx="28">
                  <c:v>37377</c:v>
                </c:pt>
                <c:pt idx="29">
                  <c:v>37408</c:v>
                </c:pt>
                <c:pt idx="30">
                  <c:v>37438</c:v>
                </c:pt>
                <c:pt idx="31">
                  <c:v>37469</c:v>
                </c:pt>
                <c:pt idx="32">
                  <c:v>37500</c:v>
                </c:pt>
                <c:pt idx="33">
                  <c:v>37530</c:v>
                </c:pt>
                <c:pt idx="34">
                  <c:v>37561</c:v>
                </c:pt>
                <c:pt idx="35">
                  <c:v>37591</c:v>
                </c:pt>
                <c:pt idx="36">
                  <c:v>37622</c:v>
                </c:pt>
                <c:pt idx="37">
                  <c:v>37653</c:v>
                </c:pt>
                <c:pt idx="38">
                  <c:v>37681</c:v>
                </c:pt>
                <c:pt idx="39">
                  <c:v>37712</c:v>
                </c:pt>
                <c:pt idx="40">
                  <c:v>37742</c:v>
                </c:pt>
                <c:pt idx="41">
                  <c:v>37773</c:v>
                </c:pt>
                <c:pt idx="42">
                  <c:v>37803</c:v>
                </c:pt>
                <c:pt idx="43">
                  <c:v>37834</c:v>
                </c:pt>
                <c:pt idx="44">
                  <c:v>37865</c:v>
                </c:pt>
                <c:pt idx="45">
                  <c:v>37895</c:v>
                </c:pt>
                <c:pt idx="46">
                  <c:v>37926</c:v>
                </c:pt>
                <c:pt idx="47">
                  <c:v>37956</c:v>
                </c:pt>
                <c:pt idx="48">
                  <c:v>37987</c:v>
                </c:pt>
                <c:pt idx="49">
                  <c:v>38018</c:v>
                </c:pt>
                <c:pt idx="50">
                  <c:v>38047</c:v>
                </c:pt>
                <c:pt idx="51">
                  <c:v>38078</c:v>
                </c:pt>
                <c:pt idx="52">
                  <c:v>38108</c:v>
                </c:pt>
                <c:pt idx="53">
                  <c:v>38139</c:v>
                </c:pt>
                <c:pt idx="54">
                  <c:v>38169</c:v>
                </c:pt>
                <c:pt idx="55">
                  <c:v>38200</c:v>
                </c:pt>
                <c:pt idx="56">
                  <c:v>38231</c:v>
                </c:pt>
                <c:pt idx="57">
                  <c:v>38261</c:v>
                </c:pt>
                <c:pt idx="58">
                  <c:v>38292</c:v>
                </c:pt>
                <c:pt idx="59">
                  <c:v>38322</c:v>
                </c:pt>
                <c:pt idx="60">
                  <c:v>38353</c:v>
                </c:pt>
                <c:pt idx="61">
                  <c:v>38384</c:v>
                </c:pt>
                <c:pt idx="62">
                  <c:v>38412</c:v>
                </c:pt>
                <c:pt idx="63">
                  <c:v>38443</c:v>
                </c:pt>
                <c:pt idx="64">
                  <c:v>38473</c:v>
                </c:pt>
                <c:pt idx="65">
                  <c:v>38504</c:v>
                </c:pt>
                <c:pt idx="66">
                  <c:v>38534</c:v>
                </c:pt>
                <c:pt idx="67">
                  <c:v>38565</c:v>
                </c:pt>
                <c:pt idx="68">
                  <c:v>38596</c:v>
                </c:pt>
                <c:pt idx="69">
                  <c:v>38626</c:v>
                </c:pt>
                <c:pt idx="70">
                  <c:v>38657</c:v>
                </c:pt>
                <c:pt idx="71">
                  <c:v>38687</c:v>
                </c:pt>
                <c:pt idx="72">
                  <c:v>38718</c:v>
                </c:pt>
                <c:pt idx="73">
                  <c:v>38749</c:v>
                </c:pt>
                <c:pt idx="74">
                  <c:v>38777</c:v>
                </c:pt>
                <c:pt idx="75">
                  <c:v>38808</c:v>
                </c:pt>
                <c:pt idx="76">
                  <c:v>38838</c:v>
                </c:pt>
                <c:pt idx="77">
                  <c:v>38869</c:v>
                </c:pt>
                <c:pt idx="78">
                  <c:v>38899</c:v>
                </c:pt>
                <c:pt idx="79">
                  <c:v>38930</c:v>
                </c:pt>
                <c:pt idx="80">
                  <c:v>38961</c:v>
                </c:pt>
                <c:pt idx="81">
                  <c:v>38991</c:v>
                </c:pt>
                <c:pt idx="82">
                  <c:v>39022</c:v>
                </c:pt>
                <c:pt idx="83">
                  <c:v>39052</c:v>
                </c:pt>
                <c:pt idx="84">
                  <c:v>39083</c:v>
                </c:pt>
                <c:pt idx="85">
                  <c:v>39114</c:v>
                </c:pt>
                <c:pt idx="86">
                  <c:v>39142</c:v>
                </c:pt>
                <c:pt idx="87">
                  <c:v>39173</c:v>
                </c:pt>
                <c:pt idx="88">
                  <c:v>39203</c:v>
                </c:pt>
                <c:pt idx="89">
                  <c:v>39234</c:v>
                </c:pt>
                <c:pt idx="90">
                  <c:v>39264</c:v>
                </c:pt>
                <c:pt idx="91">
                  <c:v>39295</c:v>
                </c:pt>
                <c:pt idx="92">
                  <c:v>39326</c:v>
                </c:pt>
                <c:pt idx="93">
                  <c:v>39356</c:v>
                </c:pt>
                <c:pt idx="94">
                  <c:v>39387</c:v>
                </c:pt>
                <c:pt idx="95">
                  <c:v>39417</c:v>
                </c:pt>
                <c:pt idx="96">
                  <c:v>39448</c:v>
                </c:pt>
                <c:pt idx="97">
                  <c:v>39479</c:v>
                </c:pt>
                <c:pt idx="98">
                  <c:v>39508</c:v>
                </c:pt>
                <c:pt idx="99">
                  <c:v>39539</c:v>
                </c:pt>
                <c:pt idx="100">
                  <c:v>39569</c:v>
                </c:pt>
                <c:pt idx="101">
                  <c:v>39600</c:v>
                </c:pt>
                <c:pt idx="102">
                  <c:v>39630</c:v>
                </c:pt>
                <c:pt idx="103">
                  <c:v>39661</c:v>
                </c:pt>
                <c:pt idx="104">
                  <c:v>39692</c:v>
                </c:pt>
                <c:pt idx="105">
                  <c:v>39722</c:v>
                </c:pt>
                <c:pt idx="106">
                  <c:v>39753</c:v>
                </c:pt>
                <c:pt idx="107">
                  <c:v>39783</c:v>
                </c:pt>
                <c:pt idx="108">
                  <c:v>39814</c:v>
                </c:pt>
                <c:pt idx="109">
                  <c:v>39845</c:v>
                </c:pt>
                <c:pt idx="110">
                  <c:v>39873</c:v>
                </c:pt>
                <c:pt idx="111">
                  <c:v>39904</c:v>
                </c:pt>
                <c:pt idx="112">
                  <c:v>39934</c:v>
                </c:pt>
                <c:pt idx="113">
                  <c:v>39965</c:v>
                </c:pt>
                <c:pt idx="114">
                  <c:v>39995</c:v>
                </c:pt>
                <c:pt idx="115">
                  <c:v>40026</c:v>
                </c:pt>
                <c:pt idx="116">
                  <c:v>40057</c:v>
                </c:pt>
                <c:pt idx="117">
                  <c:v>40087</c:v>
                </c:pt>
                <c:pt idx="118">
                  <c:v>40118</c:v>
                </c:pt>
                <c:pt idx="119">
                  <c:v>40148</c:v>
                </c:pt>
                <c:pt idx="120">
                  <c:v>40179</c:v>
                </c:pt>
                <c:pt idx="121">
                  <c:v>40210</c:v>
                </c:pt>
                <c:pt idx="122">
                  <c:v>40238</c:v>
                </c:pt>
                <c:pt idx="123">
                  <c:v>40269</c:v>
                </c:pt>
                <c:pt idx="124">
                  <c:v>40299</c:v>
                </c:pt>
                <c:pt idx="125">
                  <c:v>40330</c:v>
                </c:pt>
                <c:pt idx="126">
                  <c:v>40360</c:v>
                </c:pt>
                <c:pt idx="127">
                  <c:v>40391</c:v>
                </c:pt>
                <c:pt idx="128">
                  <c:v>40422</c:v>
                </c:pt>
                <c:pt idx="129">
                  <c:v>40452</c:v>
                </c:pt>
                <c:pt idx="130">
                  <c:v>40483</c:v>
                </c:pt>
                <c:pt idx="131">
                  <c:v>40513</c:v>
                </c:pt>
                <c:pt idx="132">
                  <c:v>40544</c:v>
                </c:pt>
                <c:pt idx="133">
                  <c:v>40575</c:v>
                </c:pt>
                <c:pt idx="134">
                  <c:v>40603</c:v>
                </c:pt>
                <c:pt idx="135">
                  <c:v>40634</c:v>
                </c:pt>
                <c:pt idx="136">
                  <c:v>40664</c:v>
                </c:pt>
                <c:pt idx="137">
                  <c:v>40695</c:v>
                </c:pt>
                <c:pt idx="138">
                  <c:v>40725</c:v>
                </c:pt>
                <c:pt idx="139">
                  <c:v>40756</c:v>
                </c:pt>
                <c:pt idx="140">
                  <c:v>40787</c:v>
                </c:pt>
                <c:pt idx="141">
                  <c:v>40817</c:v>
                </c:pt>
                <c:pt idx="142">
                  <c:v>40848</c:v>
                </c:pt>
                <c:pt idx="143">
                  <c:v>40878</c:v>
                </c:pt>
                <c:pt idx="144">
                  <c:v>40909</c:v>
                </c:pt>
                <c:pt idx="145">
                  <c:v>40940</c:v>
                </c:pt>
                <c:pt idx="146">
                  <c:v>40969</c:v>
                </c:pt>
                <c:pt idx="147">
                  <c:v>41000</c:v>
                </c:pt>
                <c:pt idx="148">
                  <c:v>41030</c:v>
                </c:pt>
                <c:pt idx="149">
                  <c:v>41061</c:v>
                </c:pt>
                <c:pt idx="150">
                  <c:v>41091</c:v>
                </c:pt>
                <c:pt idx="151">
                  <c:v>41122</c:v>
                </c:pt>
                <c:pt idx="152">
                  <c:v>41153</c:v>
                </c:pt>
                <c:pt idx="153">
                  <c:v>41183</c:v>
                </c:pt>
                <c:pt idx="154">
                  <c:v>41214</c:v>
                </c:pt>
                <c:pt idx="155">
                  <c:v>41244</c:v>
                </c:pt>
                <c:pt idx="156">
                  <c:v>41275</c:v>
                </c:pt>
                <c:pt idx="157">
                  <c:v>41306</c:v>
                </c:pt>
                <c:pt idx="158">
                  <c:v>41334</c:v>
                </c:pt>
                <c:pt idx="159">
                  <c:v>41365</c:v>
                </c:pt>
                <c:pt idx="160">
                  <c:v>41395</c:v>
                </c:pt>
                <c:pt idx="161">
                  <c:v>41426</c:v>
                </c:pt>
                <c:pt idx="162">
                  <c:v>41456</c:v>
                </c:pt>
                <c:pt idx="163">
                  <c:v>41487</c:v>
                </c:pt>
                <c:pt idx="164">
                  <c:v>41518</c:v>
                </c:pt>
                <c:pt idx="165">
                  <c:v>41548</c:v>
                </c:pt>
                <c:pt idx="166">
                  <c:v>41579</c:v>
                </c:pt>
                <c:pt idx="167">
                  <c:v>41609</c:v>
                </c:pt>
                <c:pt idx="168">
                  <c:v>41640</c:v>
                </c:pt>
                <c:pt idx="169">
                  <c:v>41671</c:v>
                </c:pt>
                <c:pt idx="170">
                  <c:v>41699</c:v>
                </c:pt>
                <c:pt idx="171">
                  <c:v>41730</c:v>
                </c:pt>
                <c:pt idx="172">
                  <c:v>41760</c:v>
                </c:pt>
                <c:pt idx="173">
                  <c:v>41791</c:v>
                </c:pt>
                <c:pt idx="174">
                  <c:v>41821</c:v>
                </c:pt>
                <c:pt idx="175">
                  <c:v>41852</c:v>
                </c:pt>
                <c:pt idx="176">
                  <c:v>41883</c:v>
                </c:pt>
                <c:pt idx="177">
                  <c:v>41913</c:v>
                </c:pt>
                <c:pt idx="178">
                  <c:v>41944</c:v>
                </c:pt>
                <c:pt idx="179">
                  <c:v>41974</c:v>
                </c:pt>
                <c:pt idx="180">
                  <c:v>42005</c:v>
                </c:pt>
                <c:pt idx="181">
                  <c:v>42036</c:v>
                </c:pt>
                <c:pt idx="182">
                  <c:v>42064</c:v>
                </c:pt>
                <c:pt idx="183">
                  <c:v>42095</c:v>
                </c:pt>
                <c:pt idx="184">
                  <c:v>42125</c:v>
                </c:pt>
                <c:pt idx="185">
                  <c:v>42156</c:v>
                </c:pt>
                <c:pt idx="186">
                  <c:v>42186</c:v>
                </c:pt>
                <c:pt idx="187">
                  <c:v>42217</c:v>
                </c:pt>
                <c:pt idx="188">
                  <c:v>42248</c:v>
                </c:pt>
                <c:pt idx="189">
                  <c:v>42278</c:v>
                </c:pt>
                <c:pt idx="190">
                  <c:v>42309</c:v>
                </c:pt>
                <c:pt idx="191">
                  <c:v>42339</c:v>
                </c:pt>
                <c:pt idx="192">
                  <c:v>42370</c:v>
                </c:pt>
                <c:pt idx="193">
                  <c:v>42401</c:v>
                </c:pt>
                <c:pt idx="194">
                  <c:v>42430</c:v>
                </c:pt>
                <c:pt idx="195">
                  <c:v>42461</c:v>
                </c:pt>
                <c:pt idx="196">
                  <c:v>42491</c:v>
                </c:pt>
                <c:pt idx="197">
                  <c:v>42522</c:v>
                </c:pt>
                <c:pt idx="198">
                  <c:v>42552</c:v>
                </c:pt>
                <c:pt idx="199">
                  <c:v>42583</c:v>
                </c:pt>
                <c:pt idx="200">
                  <c:v>42614</c:v>
                </c:pt>
                <c:pt idx="201">
                  <c:v>42644</c:v>
                </c:pt>
                <c:pt idx="202">
                  <c:v>42675</c:v>
                </c:pt>
                <c:pt idx="203">
                  <c:v>42705</c:v>
                </c:pt>
                <c:pt idx="204">
                  <c:v>42736</c:v>
                </c:pt>
                <c:pt idx="205">
                  <c:v>42767</c:v>
                </c:pt>
                <c:pt idx="206">
                  <c:v>42795</c:v>
                </c:pt>
                <c:pt idx="207">
                  <c:v>42826</c:v>
                </c:pt>
                <c:pt idx="208">
                  <c:v>42856</c:v>
                </c:pt>
                <c:pt idx="209">
                  <c:v>42887</c:v>
                </c:pt>
                <c:pt idx="210">
                  <c:v>42917</c:v>
                </c:pt>
                <c:pt idx="211">
                  <c:v>42948</c:v>
                </c:pt>
                <c:pt idx="212">
                  <c:v>42979</c:v>
                </c:pt>
                <c:pt idx="213">
                  <c:v>43009</c:v>
                </c:pt>
                <c:pt idx="214">
                  <c:v>43040</c:v>
                </c:pt>
                <c:pt idx="215">
                  <c:v>43070</c:v>
                </c:pt>
                <c:pt idx="216">
                  <c:v>43101</c:v>
                </c:pt>
                <c:pt idx="217">
                  <c:v>43132</c:v>
                </c:pt>
                <c:pt idx="218">
                  <c:v>43160</c:v>
                </c:pt>
                <c:pt idx="219">
                  <c:v>43191</c:v>
                </c:pt>
                <c:pt idx="220">
                  <c:v>43221</c:v>
                </c:pt>
                <c:pt idx="221">
                  <c:v>43252</c:v>
                </c:pt>
                <c:pt idx="222">
                  <c:v>43282</c:v>
                </c:pt>
                <c:pt idx="223">
                  <c:v>43313</c:v>
                </c:pt>
                <c:pt idx="224">
                  <c:v>43344</c:v>
                </c:pt>
                <c:pt idx="225">
                  <c:v>43374</c:v>
                </c:pt>
                <c:pt idx="226">
                  <c:v>43405</c:v>
                </c:pt>
                <c:pt idx="227">
                  <c:v>43435</c:v>
                </c:pt>
                <c:pt idx="228">
                  <c:v>43466</c:v>
                </c:pt>
                <c:pt idx="229">
                  <c:v>43497</c:v>
                </c:pt>
                <c:pt idx="230">
                  <c:v>43525</c:v>
                </c:pt>
                <c:pt idx="231">
                  <c:v>43556</c:v>
                </c:pt>
                <c:pt idx="232">
                  <c:v>43586</c:v>
                </c:pt>
                <c:pt idx="233">
                  <c:v>43617</c:v>
                </c:pt>
                <c:pt idx="234">
                  <c:v>43647</c:v>
                </c:pt>
                <c:pt idx="235">
                  <c:v>43678</c:v>
                </c:pt>
                <c:pt idx="236">
                  <c:v>43709</c:v>
                </c:pt>
                <c:pt idx="237">
                  <c:v>43739</c:v>
                </c:pt>
                <c:pt idx="238">
                  <c:v>43770</c:v>
                </c:pt>
                <c:pt idx="239">
                  <c:v>43800</c:v>
                </c:pt>
                <c:pt idx="240">
                  <c:v>43831</c:v>
                </c:pt>
                <c:pt idx="241">
                  <c:v>43862</c:v>
                </c:pt>
                <c:pt idx="242">
                  <c:v>43891</c:v>
                </c:pt>
                <c:pt idx="243">
                  <c:v>43922</c:v>
                </c:pt>
                <c:pt idx="244">
                  <c:v>43952</c:v>
                </c:pt>
                <c:pt idx="245">
                  <c:v>43983</c:v>
                </c:pt>
                <c:pt idx="246">
                  <c:v>44013</c:v>
                </c:pt>
                <c:pt idx="247">
                  <c:v>44044</c:v>
                </c:pt>
                <c:pt idx="248">
                  <c:v>44075</c:v>
                </c:pt>
                <c:pt idx="249">
                  <c:v>44105</c:v>
                </c:pt>
                <c:pt idx="250">
                  <c:v>44136</c:v>
                </c:pt>
                <c:pt idx="251">
                  <c:v>44166</c:v>
                </c:pt>
                <c:pt idx="252">
                  <c:v>44197</c:v>
                </c:pt>
                <c:pt idx="253">
                  <c:v>44228</c:v>
                </c:pt>
                <c:pt idx="254">
                  <c:v>44256</c:v>
                </c:pt>
                <c:pt idx="255">
                  <c:v>44287</c:v>
                </c:pt>
                <c:pt idx="256">
                  <c:v>44317</c:v>
                </c:pt>
                <c:pt idx="257">
                  <c:v>44348</c:v>
                </c:pt>
                <c:pt idx="258">
                  <c:v>44378</c:v>
                </c:pt>
                <c:pt idx="259">
                  <c:v>44409</c:v>
                </c:pt>
                <c:pt idx="260">
                  <c:v>44440</c:v>
                </c:pt>
                <c:pt idx="261">
                  <c:v>44470</c:v>
                </c:pt>
                <c:pt idx="262">
                  <c:v>44501</c:v>
                </c:pt>
                <c:pt idx="263">
                  <c:v>44531</c:v>
                </c:pt>
                <c:pt idx="264">
                  <c:v>44562</c:v>
                </c:pt>
                <c:pt idx="265">
                  <c:v>44593</c:v>
                </c:pt>
                <c:pt idx="266">
                  <c:v>44621</c:v>
                </c:pt>
                <c:pt idx="267">
                  <c:v>44652</c:v>
                </c:pt>
                <c:pt idx="268">
                  <c:v>44682</c:v>
                </c:pt>
                <c:pt idx="269">
                  <c:v>44713</c:v>
                </c:pt>
                <c:pt idx="270">
                  <c:v>44743</c:v>
                </c:pt>
                <c:pt idx="271">
                  <c:v>44774</c:v>
                </c:pt>
                <c:pt idx="272">
                  <c:v>44805</c:v>
                </c:pt>
                <c:pt idx="273">
                  <c:v>44835</c:v>
                </c:pt>
                <c:pt idx="274">
                  <c:v>44866</c:v>
                </c:pt>
                <c:pt idx="275">
                  <c:v>44896</c:v>
                </c:pt>
                <c:pt idx="276">
                  <c:v>44927</c:v>
                </c:pt>
                <c:pt idx="277">
                  <c:v>44958</c:v>
                </c:pt>
                <c:pt idx="278">
                  <c:v>44986</c:v>
                </c:pt>
                <c:pt idx="279">
                  <c:v>45017</c:v>
                </c:pt>
                <c:pt idx="280">
                  <c:v>45047</c:v>
                </c:pt>
                <c:pt idx="281">
                  <c:v>45078</c:v>
                </c:pt>
                <c:pt idx="282">
                  <c:v>45108</c:v>
                </c:pt>
                <c:pt idx="283">
                  <c:v>45139</c:v>
                </c:pt>
                <c:pt idx="284">
                  <c:v>45170</c:v>
                </c:pt>
                <c:pt idx="285">
                  <c:v>45200</c:v>
                </c:pt>
                <c:pt idx="286">
                  <c:v>45231</c:v>
                </c:pt>
                <c:pt idx="287">
                  <c:v>45261</c:v>
                </c:pt>
                <c:pt idx="288">
                  <c:v>45292</c:v>
                </c:pt>
                <c:pt idx="289">
                  <c:v>45323</c:v>
                </c:pt>
                <c:pt idx="290">
                  <c:v>45352</c:v>
                </c:pt>
                <c:pt idx="291">
                  <c:v>45383</c:v>
                </c:pt>
                <c:pt idx="292">
                  <c:v>45413</c:v>
                </c:pt>
                <c:pt idx="293">
                  <c:v>45444</c:v>
                </c:pt>
                <c:pt idx="294">
                  <c:v>45474</c:v>
                </c:pt>
                <c:pt idx="295">
                  <c:v>45505</c:v>
                </c:pt>
                <c:pt idx="296">
                  <c:v>45536</c:v>
                </c:pt>
                <c:pt idx="297">
                  <c:v>45566</c:v>
                </c:pt>
                <c:pt idx="298">
                  <c:v>45597</c:v>
                </c:pt>
                <c:pt idx="299">
                  <c:v>45627</c:v>
                </c:pt>
                <c:pt idx="300">
                  <c:v>45658</c:v>
                </c:pt>
                <c:pt idx="301">
                  <c:v>45689</c:v>
                </c:pt>
                <c:pt idx="302">
                  <c:v>45717</c:v>
                </c:pt>
                <c:pt idx="303">
                  <c:v>45748</c:v>
                </c:pt>
                <c:pt idx="304">
                  <c:v>45778</c:v>
                </c:pt>
                <c:pt idx="305">
                  <c:v>45809</c:v>
                </c:pt>
                <c:pt idx="306">
                  <c:v>45839</c:v>
                </c:pt>
                <c:pt idx="307">
                  <c:v>45870</c:v>
                </c:pt>
                <c:pt idx="308">
                  <c:v>45901</c:v>
                </c:pt>
                <c:pt idx="309">
                  <c:v>45931</c:v>
                </c:pt>
                <c:pt idx="310">
                  <c:v>45962</c:v>
                </c:pt>
                <c:pt idx="311">
                  <c:v>45992</c:v>
                </c:pt>
                <c:pt idx="312">
                  <c:v>46023</c:v>
                </c:pt>
                <c:pt idx="313">
                  <c:v>46054</c:v>
                </c:pt>
                <c:pt idx="314">
                  <c:v>46082</c:v>
                </c:pt>
              </c:numCache>
            </c:numRef>
          </c:cat>
          <c:val>
            <c:numRef>
              <c:f>inflation!$B$3:$B$317</c:f>
              <c:numCache>
                <c:formatCode>0.00</c:formatCode>
                <c:ptCount val="315"/>
                <c:pt idx="0">
                  <c:v>2.3533671252715438</c:v>
                </c:pt>
                <c:pt idx="1">
                  <c:v>2.6440554339897782</c:v>
                </c:pt>
                <c:pt idx="2">
                  <c:v>2.7584979533724852</c:v>
                </c:pt>
                <c:pt idx="3">
                  <c:v>2.109333802074187</c:v>
                </c:pt>
                <c:pt idx="4">
                  <c:v>2.6436376454000765</c:v>
                </c:pt>
                <c:pt idx="5">
                  <c:v>2.206920903954801</c:v>
                </c:pt>
                <c:pt idx="6">
                  <c:v>2.6154401154401263</c:v>
                </c:pt>
                <c:pt idx="7">
                  <c:v>2.8886080519949564</c:v>
                </c:pt>
                <c:pt idx="8">
                  <c:v>3.0093821915383234</c:v>
                </c:pt>
                <c:pt idx="9">
                  <c:v>3.7925560063503339</c:v>
                </c:pt>
                <c:pt idx="10">
                  <c:v>4.0500088043669669</c:v>
                </c:pt>
                <c:pt idx="11">
                  <c:v>3.6655611799615961</c:v>
                </c:pt>
                <c:pt idx="12">
                  <c:v>3.1835868411743906</c:v>
                </c:pt>
                <c:pt idx="13">
                  <c:v>3.4286729436844965</c:v>
                </c:pt>
                <c:pt idx="14">
                  <c:v>3.1866989954970393</c:v>
                </c:pt>
                <c:pt idx="15">
                  <c:v>3.7011533826820431</c:v>
                </c:pt>
                <c:pt idx="16">
                  <c:v>3.9491758241758212</c:v>
                </c:pt>
                <c:pt idx="17">
                  <c:v>4.4740024183796745</c:v>
                </c:pt>
                <c:pt idx="18">
                  <c:v>4.1659342590965043</c:v>
                </c:pt>
                <c:pt idx="19">
                  <c:v>4.018248815581682</c:v>
                </c:pt>
                <c:pt idx="20">
                  <c:v>4.0041244200034409</c:v>
                </c:pt>
                <c:pt idx="21">
                  <c:v>3.195105370496254</c:v>
                </c:pt>
                <c:pt idx="22">
                  <c:v>2.8938906752411508</c:v>
                </c:pt>
                <c:pt idx="23">
                  <c:v>3.5359488129314665</c:v>
                </c:pt>
                <c:pt idx="24">
                  <c:v>4.7823105930750787</c:v>
                </c:pt>
                <c:pt idx="25">
                  <c:v>3.7615939539677123</c:v>
                </c:pt>
                <c:pt idx="26">
                  <c:v>4.3303121852970694</c:v>
                </c:pt>
                <c:pt idx="27">
                  <c:v>4.0670650730411539</c:v>
                </c:pt>
                <c:pt idx="28">
                  <c:v>3.7826230591344601</c:v>
                </c:pt>
                <c:pt idx="29">
                  <c:v>3.6044973544973491</c:v>
                </c:pt>
                <c:pt idx="30">
                  <c:v>3.661829227134672</c:v>
                </c:pt>
                <c:pt idx="31">
                  <c:v>3.8124156545209065</c:v>
                </c:pt>
                <c:pt idx="32">
                  <c:v>3.8003965631196346</c:v>
                </c:pt>
                <c:pt idx="33">
                  <c:v>4.0184453227931405</c:v>
                </c:pt>
                <c:pt idx="34">
                  <c:v>3.8980263157894823</c:v>
                </c:pt>
                <c:pt idx="35">
                  <c:v>3.4802406895430238</c:v>
                </c:pt>
                <c:pt idx="36">
                  <c:v>3.2880745951251455</c:v>
                </c:pt>
                <c:pt idx="37">
                  <c:v>4.2708160900513326</c:v>
                </c:pt>
                <c:pt idx="38">
                  <c:v>3.9092664092664098</c:v>
                </c:pt>
                <c:pt idx="39">
                  <c:v>3.2700590205774427</c:v>
                </c:pt>
                <c:pt idx="40">
                  <c:v>3.4855960528410002</c:v>
                </c:pt>
                <c:pt idx="41">
                  <c:v>3.6546441110756556</c:v>
                </c:pt>
                <c:pt idx="42">
                  <c:v>3.4836399153508113</c:v>
                </c:pt>
                <c:pt idx="43">
                  <c:v>3.2986675333116722</c:v>
                </c:pt>
                <c:pt idx="44">
                  <c:v>3.2792104425342083</c:v>
                </c:pt>
                <c:pt idx="45">
                  <c:v>3.1190626979100688</c:v>
                </c:pt>
                <c:pt idx="46">
                  <c:v>3.2927022320721866</c:v>
                </c:pt>
                <c:pt idx="47">
                  <c:v>3.1117397454031082</c:v>
                </c:pt>
                <c:pt idx="48">
                  <c:v>3.0408615774469405</c:v>
                </c:pt>
                <c:pt idx="49">
                  <c:v>2.6353389426893248</c:v>
                </c:pt>
                <c:pt idx="50">
                  <c:v>2.9416318315528489</c:v>
                </c:pt>
                <c:pt idx="51">
                  <c:v>3.0738337967253671</c:v>
                </c:pt>
                <c:pt idx="52">
                  <c:v>3.0759766225776586</c:v>
                </c:pt>
                <c:pt idx="53">
                  <c:v>2.9561200923787556</c:v>
                </c:pt>
                <c:pt idx="54">
                  <c:v>3.1461381154632484</c:v>
                </c:pt>
                <c:pt idx="55">
                  <c:v>2.8315243039169546</c:v>
                </c:pt>
                <c:pt idx="56">
                  <c:v>2.9438964241677024</c:v>
                </c:pt>
                <c:pt idx="57">
                  <c:v>3.3010901274374449</c:v>
                </c:pt>
                <c:pt idx="58">
                  <c:v>3.1417624521072662</c:v>
                </c:pt>
                <c:pt idx="59">
                  <c:v>3.1245237006553905</c:v>
                </c:pt>
                <c:pt idx="60">
                  <c:v>4.2422379342145655</c:v>
                </c:pt>
                <c:pt idx="61">
                  <c:v>3.1399845320958963</c:v>
                </c:pt>
                <c:pt idx="62">
                  <c:v>2.8425327116859744</c:v>
                </c:pt>
                <c:pt idx="63">
                  <c:v>3.2818822118986901</c:v>
                </c:pt>
                <c:pt idx="64">
                  <c:v>3.1930766935243327</c:v>
                </c:pt>
                <c:pt idx="65">
                  <c:v>3.2151936593389996</c:v>
                </c:pt>
                <c:pt idx="66">
                  <c:v>3.8737227390575057</c:v>
                </c:pt>
                <c:pt idx="67">
                  <c:v>3.594921217683944</c:v>
                </c:pt>
                <c:pt idx="68">
                  <c:v>3.8179368168887562</c:v>
                </c:pt>
                <c:pt idx="69">
                  <c:v>3.7158145065398385</c:v>
                </c:pt>
                <c:pt idx="70">
                  <c:v>3.4621099554234647</c:v>
                </c:pt>
                <c:pt idx="71">
                  <c:v>3.5028081584392634</c:v>
                </c:pt>
                <c:pt idx="72">
                  <c:v>3.0079622530227113</c:v>
                </c:pt>
                <c:pt idx="73">
                  <c:v>3.1193761247750418</c:v>
                </c:pt>
                <c:pt idx="74">
                  <c:v>3.3196841181632131</c:v>
                </c:pt>
                <c:pt idx="75">
                  <c:v>3.5258270458502494</c:v>
                </c:pt>
                <c:pt idx="76">
                  <c:v>3.2967032967033072</c:v>
                </c:pt>
                <c:pt idx="77">
                  <c:v>3.4482758620689724</c:v>
                </c:pt>
                <c:pt idx="78">
                  <c:v>3.9348113346058033</c:v>
                </c:pt>
                <c:pt idx="79">
                  <c:v>3.4554046072061473</c:v>
                </c:pt>
                <c:pt idx="80">
                  <c:v>3.1150850879723135</c:v>
                </c:pt>
                <c:pt idx="81">
                  <c:v>3.1384350816852979</c:v>
                </c:pt>
                <c:pt idx="82">
                  <c:v>3.2026425391354252</c:v>
                </c:pt>
                <c:pt idx="83">
                  <c:v>3.1843495644723774</c:v>
                </c:pt>
                <c:pt idx="84">
                  <c:v>3.0346407099914208</c:v>
                </c:pt>
                <c:pt idx="85">
                  <c:v>3.0395578824897962</c:v>
                </c:pt>
                <c:pt idx="86">
                  <c:v>2.7742392073602185</c:v>
                </c:pt>
                <c:pt idx="87">
                  <c:v>2.5648213034337841</c:v>
                </c:pt>
                <c:pt idx="88">
                  <c:v>2.6175811870100762</c:v>
                </c:pt>
                <c:pt idx="89">
                  <c:v>2.6330532212885061</c:v>
                </c:pt>
                <c:pt idx="90">
                  <c:v>2.7263737816075606</c:v>
                </c:pt>
                <c:pt idx="91">
                  <c:v>2.7405081358835348</c:v>
                </c:pt>
                <c:pt idx="92">
                  <c:v>2.9370629370629286</c:v>
                </c:pt>
                <c:pt idx="93">
                  <c:v>2.9873558427122582</c:v>
                </c:pt>
                <c:pt idx="94">
                  <c:v>3.9242972446423607</c:v>
                </c:pt>
                <c:pt idx="95">
                  <c:v>3.8610572931082165</c:v>
                </c:pt>
                <c:pt idx="96">
                  <c:v>3.9177549319255212</c:v>
                </c:pt>
                <c:pt idx="97">
                  <c:v>4.558927311220895</c:v>
                </c:pt>
                <c:pt idx="98">
                  <c:v>4.3795620437956373</c:v>
                </c:pt>
                <c:pt idx="99">
                  <c:v>4.4274391910357869</c:v>
                </c:pt>
                <c:pt idx="100">
                  <c:v>4.9379347974355614</c:v>
                </c:pt>
                <c:pt idx="101">
                  <c:v>4.9399563318777373</c:v>
                </c:pt>
                <c:pt idx="102">
                  <c:v>4.9504950495049327</c:v>
                </c:pt>
                <c:pt idx="103">
                  <c:v>4.8485690469574738</c:v>
                </c:pt>
                <c:pt idx="104">
                  <c:v>4.7146739130434767</c:v>
                </c:pt>
                <c:pt idx="105">
                  <c:v>4.0205072854829771</c:v>
                </c:pt>
                <c:pt idx="106">
                  <c:v>3.0128548473486783</c:v>
                </c:pt>
                <c:pt idx="107">
                  <c:v>2.1985343104597099</c:v>
                </c:pt>
                <c:pt idx="108">
                  <c:v>1.9919786096256775</c:v>
                </c:pt>
                <c:pt idx="109">
                  <c:v>1.8223542116630798</c:v>
                </c:pt>
                <c:pt idx="110">
                  <c:v>1.5305449267713378</c:v>
                </c:pt>
                <c:pt idx="111">
                  <c:v>1.1384454331326843</c:v>
                </c:pt>
                <c:pt idx="112">
                  <c:v>0.7149356557909714</c:v>
                </c:pt>
                <c:pt idx="113">
                  <c:v>0.68920676202861575</c:v>
                </c:pt>
                <c:pt idx="114">
                  <c:v>0.69444444444444198</c:v>
                </c:pt>
                <c:pt idx="115">
                  <c:v>0.96727176361468548</c:v>
                </c:pt>
                <c:pt idx="116">
                  <c:v>0.73958738808876934</c:v>
                </c:pt>
                <c:pt idx="117">
                  <c:v>1.2451361867704458</c:v>
                </c:pt>
                <c:pt idx="118">
                  <c:v>2.1058104770570463</c:v>
                </c:pt>
                <c:pt idx="119">
                  <c:v>2.555410691003912</c:v>
                </c:pt>
                <c:pt idx="120">
                  <c:v>2.3200943767204052</c:v>
                </c:pt>
                <c:pt idx="121">
                  <c:v>2.8635821291263408</c:v>
                </c:pt>
                <c:pt idx="122">
                  <c:v>3.9116309291747697</c:v>
                </c:pt>
                <c:pt idx="123">
                  <c:v>4.7483503687410833</c:v>
                </c:pt>
                <c:pt idx="124">
                  <c:v>5.3045947341249455</c:v>
                </c:pt>
                <c:pt idx="125">
                  <c:v>5.1917861294072054</c:v>
                </c:pt>
                <c:pt idx="126">
                  <c:v>5.5302537410540031</c:v>
                </c:pt>
                <c:pt idx="127">
                  <c:v>5.643044619422577</c:v>
                </c:pt>
                <c:pt idx="128">
                  <c:v>5.667181865018045</c:v>
                </c:pt>
                <c:pt idx="129">
                  <c:v>5.2267486548808639</c:v>
                </c:pt>
                <c:pt idx="130">
                  <c:v>4.7867600254615006</c:v>
                </c:pt>
                <c:pt idx="131">
                  <c:v>5.148741418764291</c:v>
                </c:pt>
                <c:pt idx="132">
                  <c:v>4.9192928516525791</c:v>
                </c:pt>
                <c:pt idx="133">
                  <c:v>4.1500193323881884</c:v>
                </c:pt>
                <c:pt idx="134">
                  <c:v>4.3021510755377745</c:v>
                </c:pt>
                <c:pt idx="135">
                  <c:v>3.6931818181818343</c:v>
                </c:pt>
                <c:pt idx="136">
                  <c:v>3.1253830126240834</c:v>
                </c:pt>
                <c:pt idx="137">
                  <c:v>3.0939226519336893</c:v>
                </c:pt>
                <c:pt idx="138">
                  <c:v>2.1085080147965618</c:v>
                </c:pt>
                <c:pt idx="139">
                  <c:v>1.4161490683229916</c:v>
                </c:pt>
                <c:pt idx="140">
                  <c:v>2.8766455387615686</c:v>
                </c:pt>
                <c:pt idx="141">
                  <c:v>2.8609690771852936</c:v>
                </c:pt>
                <c:pt idx="142">
                  <c:v>2.8429109464220614</c:v>
                </c:pt>
                <c:pt idx="143">
                  <c:v>2.1762785636561643</c:v>
                </c:pt>
                <c:pt idx="144">
                  <c:v>2.0634920634920562</c:v>
                </c:pt>
                <c:pt idx="145">
                  <c:v>1.6705853235985613</c:v>
                </c:pt>
                <c:pt idx="146">
                  <c:v>1.3549160671462834</c:v>
                </c:pt>
                <c:pt idx="147">
                  <c:v>1.5247170935080323</c:v>
                </c:pt>
                <c:pt idx="148">
                  <c:v>0.93891133824579587</c:v>
                </c:pt>
                <c:pt idx="149">
                  <c:v>0.94081219483148626</c:v>
                </c:pt>
                <c:pt idx="150">
                  <c:v>0.90568771887453714</c:v>
                </c:pt>
                <c:pt idx="151">
                  <c:v>1.1391474767270759</c:v>
                </c:pt>
                <c:pt idx="152">
                  <c:v>0.28436018957345155</c:v>
                </c:pt>
                <c:pt idx="153">
                  <c:v>0.92318617587880958</c:v>
                </c:pt>
                <c:pt idx="154">
                  <c:v>0.41346721795627595</c:v>
                </c:pt>
                <c:pt idx="155">
                  <c:v>0.31948881789136685</c:v>
                </c:pt>
                <c:pt idx="156">
                  <c:v>3.5889460461779876E-2</c:v>
                </c:pt>
                <c:pt idx="157">
                  <c:v>0.13388510223952821</c:v>
                </c:pt>
                <c:pt idx="158">
                  <c:v>-0.23660238968413738</c:v>
                </c:pt>
                <c:pt idx="159">
                  <c:v>-0.59838085181275202</c:v>
                </c:pt>
                <c:pt idx="160">
                  <c:v>-0.29436006122689484</c:v>
                </c:pt>
                <c:pt idx="161">
                  <c:v>-0.2477583765927438</c:v>
                </c:pt>
                <c:pt idx="162">
                  <c:v>-0.4667304930588756</c:v>
                </c:pt>
                <c:pt idx="163">
                  <c:v>-0.96887489402930349</c:v>
                </c:pt>
                <c:pt idx="164">
                  <c:v>-1.0042533081285332</c:v>
                </c:pt>
                <c:pt idx="165">
                  <c:v>-1.8998475430983874</c:v>
                </c:pt>
                <c:pt idx="166">
                  <c:v>-2.8588235294117692</c:v>
                </c:pt>
                <c:pt idx="167">
                  <c:v>-1.8164661476763433</c:v>
                </c:pt>
                <c:pt idx="168">
                  <c:v>-1.3991867974168848</c:v>
                </c:pt>
                <c:pt idx="169">
                  <c:v>-0.86301203354806066</c:v>
                </c:pt>
                <c:pt idx="170">
                  <c:v>-1.4941302027748238</c:v>
                </c:pt>
                <c:pt idx="171">
                  <c:v>-1.5816808309726205</c:v>
                </c:pt>
                <c:pt idx="172">
                  <c:v>-2.1256495040151258</c:v>
                </c:pt>
                <c:pt idx="173">
                  <c:v>-1.454760496747487</c:v>
                </c:pt>
                <c:pt idx="174">
                  <c:v>-0.84164963328123843</c:v>
                </c:pt>
                <c:pt idx="175">
                  <c:v>-0.23235905588846473</c:v>
                </c:pt>
                <c:pt idx="176">
                  <c:v>-1.1099176512710418</c:v>
                </c:pt>
                <c:pt idx="177">
                  <c:v>-1.7931858936042988</c:v>
                </c:pt>
                <c:pt idx="178">
                  <c:v>-1.2232045537119873</c:v>
                </c:pt>
                <c:pt idx="179">
                  <c:v>-2.534839019702062</c:v>
                </c:pt>
                <c:pt idx="180">
                  <c:v>-2.7653123104912081</c:v>
                </c:pt>
                <c:pt idx="181">
                  <c:v>-1.9004413928396247</c:v>
                </c:pt>
                <c:pt idx="182">
                  <c:v>-1.8658962320934114</c:v>
                </c:pt>
                <c:pt idx="183">
                  <c:v>-1.8109858479251506</c:v>
                </c:pt>
                <c:pt idx="184">
                  <c:v>-1.4358108108108114</c:v>
                </c:pt>
                <c:pt idx="185">
                  <c:v>-1.1041766682669096</c:v>
                </c:pt>
                <c:pt idx="186">
                  <c:v>-1.2610646295622585</c:v>
                </c:pt>
                <c:pt idx="187">
                  <c:v>-0.39225300318704859</c:v>
                </c:pt>
                <c:pt idx="188">
                  <c:v>-0.76031860970310339</c:v>
                </c:pt>
                <c:pt idx="189">
                  <c:v>-9.7382836275117235E-2</c:v>
                </c:pt>
                <c:pt idx="190">
                  <c:v>-0.11034820990681871</c:v>
                </c:pt>
                <c:pt idx="191">
                  <c:v>0.39442869468755415</c:v>
                </c:pt>
                <c:pt idx="192">
                  <c:v>-0.11226144443059471</c:v>
                </c:pt>
                <c:pt idx="193">
                  <c:v>7.4990626171711483E-2</c:v>
                </c:pt>
                <c:pt idx="194">
                  <c:v>-0.66241413150146533</c:v>
                </c:pt>
                <c:pt idx="195">
                  <c:v>-0.42750702332967627</c:v>
                </c:pt>
                <c:pt idx="196">
                  <c:v>-0.19586240665931953</c:v>
                </c:pt>
                <c:pt idx="197">
                  <c:v>0.23058252427183845</c:v>
                </c:pt>
                <c:pt idx="198">
                  <c:v>0.20876826722335817</c:v>
                </c:pt>
                <c:pt idx="199">
                  <c:v>0.44302239724340886</c:v>
                </c:pt>
                <c:pt idx="200">
                  <c:v>-6.0805058980906157E-2</c:v>
                </c:pt>
                <c:pt idx="201">
                  <c:v>0.58486657731204872</c:v>
                </c:pt>
                <c:pt idx="202">
                  <c:v>-0.15956793911868772</c:v>
                </c:pt>
                <c:pt idx="203">
                  <c:v>0.28238182934317013</c:v>
                </c:pt>
                <c:pt idx="204">
                  <c:v>1.5109890109890278</c:v>
                </c:pt>
                <c:pt idx="205">
                  <c:v>1.4237542150618232</c:v>
                </c:pt>
                <c:pt idx="206">
                  <c:v>1.6670782909360193</c:v>
                </c:pt>
                <c:pt idx="207">
                  <c:v>1.6437684003925535</c:v>
                </c:pt>
                <c:pt idx="208">
                  <c:v>1.4841162762173399</c:v>
                </c:pt>
                <c:pt idx="209">
                  <c:v>0.90810025426806273</c:v>
                </c:pt>
                <c:pt idx="210">
                  <c:v>0.9068627450980582</c:v>
                </c:pt>
                <c:pt idx="211">
                  <c:v>0.57583925508453149</c:v>
                </c:pt>
                <c:pt idx="212">
                  <c:v>1.0464833292771925</c:v>
                </c:pt>
                <c:pt idx="213">
                  <c:v>0.46032707450032184</c:v>
                </c:pt>
                <c:pt idx="214">
                  <c:v>1.0449963117777239</c:v>
                </c:pt>
                <c:pt idx="215">
                  <c:v>0.96718903036236981</c:v>
                </c:pt>
                <c:pt idx="216">
                  <c:v>0.22142945011685011</c:v>
                </c:pt>
                <c:pt idx="217">
                  <c:v>0.40635389730330207</c:v>
                </c:pt>
                <c:pt idx="218">
                  <c:v>0.19433985181585012</c:v>
                </c:pt>
                <c:pt idx="219">
                  <c:v>0.50687907313540226</c:v>
                </c:pt>
                <c:pt idx="220">
                  <c:v>0.76142131979697325</c:v>
                </c:pt>
                <c:pt idx="221">
                  <c:v>0.95992320614350923</c:v>
                </c:pt>
                <c:pt idx="222">
                  <c:v>0.78940976439154653</c:v>
                </c:pt>
                <c:pt idx="223">
                  <c:v>0.88926787672065633</c:v>
                </c:pt>
                <c:pt idx="224">
                  <c:v>1.1319845857418187</c:v>
                </c:pt>
                <c:pt idx="225">
                  <c:v>1.7605209212588901</c:v>
                </c:pt>
                <c:pt idx="226">
                  <c:v>1.070689864947072</c:v>
                </c:pt>
                <c:pt idx="227">
                  <c:v>0.63053231478111815</c:v>
                </c:pt>
                <c:pt idx="228">
                  <c:v>0.54007610163249176</c:v>
                </c:pt>
                <c:pt idx="229">
                  <c:v>0.76036301201862777</c:v>
                </c:pt>
                <c:pt idx="230">
                  <c:v>1.0546732937325887</c:v>
                </c:pt>
                <c:pt idx="231">
                  <c:v>1.0806916426512991</c:v>
                </c:pt>
                <c:pt idx="232">
                  <c:v>0.58774139378672263</c:v>
                </c:pt>
                <c:pt idx="233">
                  <c:v>0.24958402662229595</c:v>
                </c:pt>
                <c:pt idx="234">
                  <c:v>0.44583684781298594</c:v>
                </c:pt>
                <c:pt idx="235">
                  <c:v>7.2446269017145681E-2</c:v>
                </c:pt>
                <c:pt idx="236">
                  <c:v>0.20242914979757831</c:v>
                </c:pt>
                <c:pt idx="237">
                  <c:v>-0.34364261168385868</c:v>
                </c:pt>
                <c:pt idx="238">
                  <c:v>0.52967376911039477</c:v>
                </c:pt>
                <c:pt idx="239">
                  <c:v>1.0603687191228062</c:v>
                </c:pt>
                <c:pt idx="240">
                  <c:v>1.0743498962275888</c:v>
                </c:pt>
                <c:pt idx="241">
                  <c:v>0.41382667964946496</c:v>
                </c:pt>
                <c:pt idx="242">
                  <c:v>0.17994241842611558</c:v>
                </c:pt>
                <c:pt idx="243">
                  <c:v>-0.91470658113567138</c:v>
                </c:pt>
                <c:pt idx="244">
                  <c:v>-0.69162890531838661</c:v>
                </c:pt>
                <c:pt idx="245">
                  <c:v>-1.9205690574985113</c:v>
                </c:pt>
                <c:pt idx="246">
                  <c:v>-2.1113243761996192</c:v>
                </c:pt>
                <c:pt idx="247">
                  <c:v>-2.2442084942084883</c:v>
                </c:pt>
                <c:pt idx="248">
                  <c:v>-2.3054070112893732</c:v>
                </c:pt>
                <c:pt idx="249">
                  <c:v>-2.0332936979785887</c:v>
                </c:pt>
                <c:pt idx="250">
                  <c:v>-2.1434558735480835</c:v>
                </c:pt>
                <c:pt idx="251">
                  <c:v>-2.3965661142243966</c:v>
                </c:pt>
                <c:pt idx="252">
                  <c:v>-2.391593187583041</c:v>
                </c:pt>
                <c:pt idx="253">
                  <c:v>-1.8545454545454532</c:v>
                </c:pt>
                <c:pt idx="254">
                  <c:v>-2.0356843491797449</c:v>
                </c:pt>
                <c:pt idx="255">
                  <c:v>-1.0670183431243263</c:v>
                </c:pt>
                <c:pt idx="256">
                  <c:v>-1.2127761767531275</c:v>
                </c:pt>
                <c:pt idx="257">
                  <c:v>0.61646319352108847</c:v>
                </c:pt>
                <c:pt idx="258">
                  <c:v>0.66176470588235059</c:v>
                </c:pt>
                <c:pt idx="259">
                  <c:v>1.2342631449024921</c:v>
                </c:pt>
                <c:pt idx="260">
                  <c:v>1.8975793699063326</c:v>
                </c:pt>
                <c:pt idx="261">
                  <c:v>2.8401505037018993</c:v>
                </c:pt>
                <c:pt idx="262">
                  <c:v>4.0259422418012836</c:v>
                </c:pt>
                <c:pt idx="263">
                  <c:v>4.3611043244563996</c:v>
                </c:pt>
                <c:pt idx="264">
                  <c:v>5.4943695087241728</c:v>
                </c:pt>
                <c:pt idx="265">
                  <c:v>6.273928615536617</c:v>
                </c:pt>
                <c:pt idx="266">
                  <c:v>7.9696858574746399</c:v>
                </c:pt>
                <c:pt idx="267">
                  <c:v>9.1371788657295347</c:v>
                </c:pt>
                <c:pt idx="268">
                  <c:v>10.502005591345576</c:v>
                </c:pt>
                <c:pt idx="269">
                  <c:v>11.617011052378668</c:v>
                </c:pt>
                <c:pt idx="270">
                  <c:v>11.273435597759928</c:v>
                </c:pt>
                <c:pt idx="271">
                  <c:v>11.216776396000983</c:v>
                </c:pt>
                <c:pt idx="272">
                  <c:v>12.116509490270989</c:v>
                </c:pt>
                <c:pt idx="273">
                  <c:v>9.4653605570636188</c:v>
                </c:pt>
                <c:pt idx="274">
                  <c:v>8.8107281496294441</c:v>
                </c:pt>
                <c:pt idx="275">
                  <c:v>7.5734519489640606</c:v>
                </c:pt>
                <c:pt idx="276">
                  <c:v>7.2961876832844608</c:v>
                </c:pt>
                <c:pt idx="277">
                  <c:v>6.5194654270772867</c:v>
                </c:pt>
                <c:pt idx="278">
                  <c:v>5.4002037812747705</c:v>
                </c:pt>
                <c:pt idx="279">
                  <c:v>4.5192094159449248</c:v>
                </c:pt>
                <c:pt idx="280">
                  <c:v>4.1029589704103087</c:v>
                </c:pt>
                <c:pt idx="281">
                  <c:v>2.7876439565170719</c:v>
                </c:pt>
                <c:pt idx="282">
                  <c:v>3.4682713347921057</c:v>
                </c:pt>
                <c:pt idx="283">
                  <c:v>3.475115106336335</c:v>
                </c:pt>
                <c:pt idx="284">
                  <c:v>2.3850085178875657</c:v>
                </c:pt>
                <c:pt idx="285">
                  <c:v>3.7951482479784415</c:v>
                </c:pt>
                <c:pt idx="286">
                  <c:v>2.9189189189189113</c:v>
                </c:pt>
                <c:pt idx="287">
                  <c:v>3.68879216539717</c:v>
                </c:pt>
                <c:pt idx="288">
                  <c:v>3.2141685798622532</c:v>
                </c:pt>
                <c:pt idx="289">
                  <c:v>3.1311368099498305</c:v>
                </c:pt>
                <c:pt idx="290">
                  <c:v>3.3727175080558558</c:v>
                </c:pt>
                <c:pt idx="291">
                  <c:v>3.1977053011792211</c:v>
                </c:pt>
                <c:pt idx="292">
                  <c:v>2.3562975486052462</c:v>
                </c:pt>
                <c:pt idx="293">
                  <c:v>2.4502617801047233</c:v>
                </c:pt>
                <c:pt idx="294">
                  <c:v>2.9819181558633945</c:v>
                </c:pt>
                <c:pt idx="295">
                  <c:v>3.1994914715541833</c:v>
                </c:pt>
                <c:pt idx="296">
                  <c:v>3.1094009983361204</c:v>
                </c:pt>
                <c:pt idx="297">
                  <c:v>3.0642983276202296</c:v>
                </c:pt>
                <c:pt idx="298">
                  <c:v>2.9621848739495693</c:v>
                </c:pt>
                <c:pt idx="299">
                  <c:v>2.9488928533948799</c:v>
                </c:pt>
                <c:pt idx="300">
                  <c:v>3.1458531935176337</c:v>
                </c:pt>
                <c:pt idx="301">
                  <c:v>3.0360732042737704</c:v>
                </c:pt>
                <c:pt idx="302">
                  <c:v>3.1172069825436521</c:v>
                </c:pt>
                <c:pt idx="303">
                  <c:v>2.6456660490014272</c:v>
                </c:pt>
                <c:pt idx="304">
                  <c:v>3.2930731908743738</c:v>
                </c:pt>
                <c:pt idx="305">
                  <c:v>3.5670482420278038</c:v>
                </c:pt>
                <c:pt idx="306">
                  <c:v>3.7375500564739816</c:v>
                </c:pt>
                <c:pt idx="307">
                  <c:v>3.0592341648701504</c:v>
                </c:pt>
                <c:pt idx="308">
                  <c:v>1.8053454362077614</c:v>
                </c:pt>
                <c:pt idx="309">
                  <c:v>1.6428139488006366</c:v>
                </c:pt>
                <c:pt idx="310">
                  <c:v>2.8157518873699328</c:v>
                </c:pt>
                <c:pt idx="311">
                  <c:v>2.8644240570846025</c:v>
                </c:pt>
                <c:pt idx="312">
                  <c:v>2.8547956459231916</c:v>
                </c:pt>
                <c:pt idx="313">
                  <c:v>3.1416837782340723</c:v>
                </c:pt>
                <c:pt idx="314">
                  <c:v>3.3756549778315215</c:v>
                </c:pt>
              </c:numCache>
            </c:numRef>
          </c:val>
          <c:smooth val="0"/>
          <c:extLst>
            <c:ext xmlns:c16="http://schemas.microsoft.com/office/drawing/2014/chart" uri="{C3380CC4-5D6E-409C-BE32-E72D297353CC}">
              <c16:uniqueId val="{00000000-DA42-465C-96A8-91D264DBDD12}"/>
            </c:ext>
          </c:extLst>
        </c:ser>
        <c:ser>
          <c:idx val="1"/>
          <c:order val="1"/>
          <c:tx>
            <c:strRef>
              <c:f>inflation!$C$2</c:f>
              <c:strCache>
                <c:ptCount val="1"/>
                <c:pt idx="0">
                  <c:v>Πληθωρισμός ζώνης του ευρώ</c:v>
                </c:pt>
              </c:strCache>
            </c:strRef>
          </c:tx>
          <c:spPr>
            <a:ln w="28575" cap="rnd">
              <a:solidFill>
                <a:schemeClr val="accent2"/>
              </a:solidFill>
              <a:round/>
            </a:ln>
            <a:effectLst/>
          </c:spPr>
          <c:marker>
            <c:symbol val="none"/>
          </c:marker>
          <c:cat>
            <c:numRef>
              <c:f>inflation!$A$3:$A$317</c:f>
              <c:numCache>
                <c:formatCode>yyyy\-mm</c:formatCode>
                <c:ptCount val="315"/>
                <c:pt idx="0">
                  <c:v>36526</c:v>
                </c:pt>
                <c:pt idx="1">
                  <c:v>36557</c:v>
                </c:pt>
                <c:pt idx="2">
                  <c:v>36586</c:v>
                </c:pt>
                <c:pt idx="3">
                  <c:v>36617</c:v>
                </c:pt>
                <c:pt idx="4">
                  <c:v>36647</c:v>
                </c:pt>
                <c:pt idx="5">
                  <c:v>36678</c:v>
                </c:pt>
                <c:pt idx="6">
                  <c:v>36708</c:v>
                </c:pt>
                <c:pt idx="7">
                  <c:v>36739</c:v>
                </c:pt>
                <c:pt idx="8">
                  <c:v>36770</c:v>
                </c:pt>
                <c:pt idx="9">
                  <c:v>36800</c:v>
                </c:pt>
                <c:pt idx="10">
                  <c:v>36831</c:v>
                </c:pt>
                <c:pt idx="11">
                  <c:v>36861</c:v>
                </c:pt>
                <c:pt idx="12">
                  <c:v>36892</c:v>
                </c:pt>
                <c:pt idx="13">
                  <c:v>36923</c:v>
                </c:pt>
                <c:pt idx="14">
                  <c:v>36951</c:v>
                </c:pt>
                <c:pt idx="15">
                  <c:v>36982</c:v>
                </c:pt>
                <c:pt idx="16">
                  <c:v>37012</c:v>
                </c:pt>
                <c:pt idx="17">
                  <c:v>37043</c:v>
                </c:pt>
                <c:pt idx="18">
                  <c:v>37073</c:v>
                </c:pt>
                <c:pt idx="19">
                  <c:v>37104</c:v>
                </c:pt>
                <c:pt idx="20">
                  <c:v>37135</c:v>
                </c:pt>
                <c:pt idx="21">
                  <c:v>37165</c:v>
                </c:pt>
                <c:pt idx="22">
                  <c:v>37196</c:v>
                </c:pt>
                <c:pt idx="23">
                  <c:v>37226</c:v>
                </c:pt>
                <c:pt idx="24">
                  <c:v>37257</c:v>
                </c:pt>
                <c:pt idx="25">
                  <c:v>37288</c:v>
                </c:pt>
                <c:pt idx="26">
                  <c:v>37316</c:v>
                </c:pt>
                <c:pt idx="27">
                  <c:v>37347</c:v>
                </c:pt>
                <c:pt idx="28">
                  <c:v>37377</c:v>
                </c:pt>
                <c:pt idx="29">
                  <c:v>37408</c:v>
                </c:pt>
                <c:pt idx="30">
                  <c:v>37438</c:v>
                </c:pt>
                <c:pt idx="31">
                  <c:v>37469</c:v>
                </c:pt>
                <c:pt idx="32">
                  <c:v>37500</c:v>
                </c:pt>
                <c:pt idx="33">
                  <c:v>37530</c:v>
                </c:pt>
                <c:pt idx="34">
                  <c:v>37561</c:v>
                </c:pt>
                <c:pt idx="35">
                  <c:v>37591</c:v>
                </c:pt>
                <c:pt idx="36">
                  <c:v>37622</c:v>
                </c:pt>
                <c:pt idx="37">
                  <c:v>37653</c:v>
                </c:pt>
                <c:pt idx="38">
                  <c:v>37681</c:v>
                </c:pt>
                <c:pt idx="39">
                  <c:v>37712</c:v>
                </c:pt>
                <c:pt idx="40">
                  <c:v>37742</c:v>
                </c:pt>
                <c:pt idx="41">
                  <c:v>37773</c:v>
                </c:pt>
                <c:pt idx="42">
                  <c:v>37803</c:v>
                </c:pt>
                <c:pt idx="43">
                  <c:v>37834</c:v>
                </c:pt>
                <c:pt idx="44">
                  <c:v>37865</c:v>
                </c:pt>
                <c:pt idx="45">
                  <c:v>37895</c:v>
                </c:pt>
                <c:pt idx="46">
                  <c:v>37926</c:v>
                </c:pt>
                <c:pt idx="47">
                  <c:v>37956</c:v>
                </c:pt>
                <c:pt idx="48">
                  <c:v>37987</c:v>
                </c:pt>
                <c:pt idx="49">
                  <c:v>38018</c:v>
                </c:pt>
                <c:pt idx="50">
                  <c:v>38047</c:v>
                </c:pt>
                <c:pt idx="51">
                  <c:v>38078</c:v>
                </c:pt>
                <c:pt idx="52">
                  <c:v>38108</c:v>
                </c:pt>
                <c:pt idx="53">
                  <c:v>38139</c:v>
                </c:pt>
                <c:pt idx="54">
                  <c:v>38169</c:v>
                </c:pt>
                <c:pt idx="55">
                  <c:v>38200</c:v>
                </c:pt>
                <c:pt idx="56">
                  <c:v>38231</c:v>
                </c:pt>
                <c:pt idx="57">
                  <c:v>38261</c:v>
                </c:pt>
                <c:pt idx="58">
                  <c:v>38292</c:v>
                </c:pt>
                <c:pt idx="59">
                  <c:v>38322</c:v>
                </c:pt>
                <c:pt idx="60">
                  <c:v>38353</c:v>
                </c:pt>
                <c:pt idx="61">
                  <c:v>38384</c:v>
                </c:pt>
                <c:pt idx="62">
                  <c:v>38412</c:v>
                </c:pt>
                <c:pt idx="63">
                  <c:v>38443</c:v>
                </c:pt>
                <c:pt idx="64">
                  <c:v>38473</c:v>
                </c:pt>
                <c:pt idx="65">
                  <c:v>38504</c:v>
                </c:pt>
                <c:pt idx="66">
                  <c:v>38534</c:v>
                </c:pt>
                <c:pt idx="67">
                  <c:v>38565</c:v>
                </c:pt>
                <c:pt idx="68">
                  <c:v>38596</c:v>
                </c:pt>
                <c:pt idx="69">
                  <c:v>38626</c:v>
                </c:pt>
                <c:pt idx="70">
                  <c:v>38657</c:v>
                </c:pt>
                <c:pt idx="71">
                  <c:v>38687</c:v>
                </c:pt>
                <c:pt idx="72">
                  <c:v>38718</c:v>
                </c:pt>
                <c:pt idx="73">
                  <c:v>38749</c:v>
                </c:pt>
                <c:pt idx="74">
                  <c:v>38777</c:v>
                </c:pt>
                <c:pt idx="75">
                  <c:v>38808</c:v>
                </c:pt>
                <c:pt idx="76">
                  <c:v>38838</c:v>
                </c:pt>
                <c:pt idx="77">
                  <c:v>38869</c:v>
                </c:pt>
                <c:pt idx="78">
                  <c:v>38899</c:v>
                </c:pt>
                <c:pt idx="79">
                  <c:v>38930</c:v>
                </c:pt>
                <c:pt idx="80">
                  <c:v>38961</c:v>
                </c:pt>
                <c:pt idx="81">
                  <c:v>38991</c:v>
                </c:pt>
                <c:pt idx="82">
                  <c:v>39022</c:v>
                </c:pt>
                <c:pt idx="83">
                  <c:v>39052</c:v>
                </c:pt>
                <c:pt idx="84">
                  <c:v>39083</c:v>
                </c:pt>
                <c:pt idx="85">
                  <c:v>39114</c:v>
                </c:pt>
                <c:pt idx="86">
                  <c:v>39142</c:v>
                </c:pt>
                <c:pt idx="87">
                  <c:v>39173</c:v>
                </c:pt>
                <c:pt idx="88">
                  <c:v>39203</c:v>
                </c:pt>
                <c:pt idx="89">
                  <c:v>39234</c:v>
                </c:pt>
                <c:pt idx="90">
                  <c:v>39264</c:v>
                </c:pt>
                <c:pt idx="91">
                  <c:v>39295</c:v>
                </c:pt>
                <c:pt idx="92">
                  <c:v>39326</c:v>
                </c:pt>
                <c:pt idx="93">
                  <c:v>39356</c:v>
                </c:pt>
                <c:pt idx="94">
                  <c:v>39387</c:v>
                </c:pt>
                <c:pt idx="95">
                  <c:v>39417</c:v>
                </c:pt>
                <c:pt idx="96">
                  <c:v>39448</c:v>
                </c:pt>
                <c:pt idx="97">
                  <c:v>39479</c:v>
                </c:pt>
                <c:pt idx="98">
                  <c:v>39508</c:v>
                </c:pt>
                <c:pt idx="99">
                  <c:v>39539</c:v>
                </c:pt>
                <c:pt idx="100">
                  <c:v>39569</c:v>
                </c:pt>
                <c:pt idx="101">
                  <c:v>39600</c:v>
                </c:pt>
                <c:pt idx="102">
                  <c:v>39630</c:v>
                </c:pt>
                <c:pt idx="103">
                  <c:v>39661</c:v>
                </c:pt>
                <c:pt idx="104">
                  <c:v>39692</c:v>
                </c:pt>
                <c:pt idx="105">
                  <c:v>39722</c:v>
                </c:pt>
                <c:pt idx="106">
                  <c:v>39753</c:v>
                </c:pt>
                <c:pt idx="107">
                  <c:v>39783</c:v>
                </c:pt>
                <c:pt idx="108">
                  <c:v>39814</c:v>
                </c:pt>
                <c:pt idx="109">
                  <c:v>39845</c:v>
                </c:pt>
                <c:pt idx="110">
                  <c:v>39873</c:v>
                </c:pt>
                <c:pt idx="111">
                  <c:v>39904</c:v>
                </c:pt>
                <c:pt idx="112">
                  <c:v>39934</c:v>
                </c:pt>
                <c:pt idx="113">
                  <c:v>39965</c:v>
                </c:pt>
                <c:pt idx="114">
                  <c:v>39995</c:v>
                </c:pt>
                <c:pt idx="115">
                  <c:v>40026</c:v>
                </c:pt>
                <c:pt idx="116">
                  <c:v>40057</c:v>
                </c:pt>
                <c:pt idx="117">
                  <c:v>40087</c:v>
                </c:pt>
                <c:pt idx="118">
                  <c:v>40118</c:v>
                </c:pt>
                <c:pt idx="119">
                  <c:v>40148</c:v>
                </c:pt>
                <c:pt idx="120">
                  <c:v>40179</c:v>
                </c:pt>
                <c:pt idx="121">
                  <c:v>40210</c:v>
                </c:pt>
                <c:pt idx="122">
                  <c:v>40238</c:v>
                </c:pt>
                <c:pt idx="123">
                  <c:v>40269</c:v>
                </c:pt>
                <c:pt idx="124">
                  <c:v>40299</c:v>
                </c:pt>
                <c:pt idx="125">
                  <c:v>40330</c:v>
                </c:pt>
                <c:pt idx="126">
                  <c:v>40360</c:v>
                </c:pt>
                <c:pt idx="127">
                  <c:v>40391</c:v>
                </c:pt>
                <c:pt idx="128">
                  <c:v>40422</c:v>
                </c:pt>
                <c:pt idx="129">
                  <c:v>40452</c:v>
                </c:pt>
                <c:pt idx="130">
                  <c:v>40483</c:v>
                </c:pt>
                <c:pt idx="131">
                  <c:v>40513</c:v>
                </c:pt>
                <c:pt idx="132">
                  <c:v>40544</c:v>
                </c:pt>
                <c:pt idx="133">
                  <c:v>40575</c:v>
                </c:pt>
                <c:pt idx="134">
                  <c:v>40603</c:v>
                </c:pt>
                <c:pt idx="135">
                  <c:v>40634</c:v>
                </c:pt>
                <c:pt idx="136">
                  <c:v>40664</c:v>
                </c:pt>
                <c:pt idx="137">
                  <c:v>40695</c:v>
                </c:pt>
                <c:pt idx="138">
                  <c:v>40725</c:v>
                </c:pt>
                <c:pt idx="139">
                  <c:v>40756</c:v>
                </c:pt>
                <c:pt idx="140">
                  <c:v>40787</c:v>
                </c:pt>
                <c:pt idx="141">
                  <c:v>40817</c:v>
                </c:pt>
                <c:pt idx="142">
                  <c:v>40848</c:v>
                </c:pt>
                <c:pt idx="143">
                  <c:v>40878</c:v>
                </c:pt>
                <c:pt idx="144">
                  <c:v>40909</c:v>
                </c:pt>
                <c:pt idx="145">
                  <c:v>40940</c:v>
                </c:pt>
                <c:pt idx="146">
                  <c:v>40969</c:v>
                </c:pt>
                <c:pt idx="147">
                  <c:v>41000</c:v>
                </c:pt>
                <c:pt idx="148">
                  <c:v>41030</c:v>
                </c:pt>
                <c:pt idx="149">
                  <c:v>41061</c:v>
                </c:pt>
                <c:pt idx="150">
                  <c:v>41091</c:v>
                </c:pt>
                <c:pt idx="151">
                  <c:v>41122</c:v>
                </c:pt>
                <c:pt idx="152">
                  <c:v>41153</c:v>
                </c:pt>
                <c:pt idx="153">
                  <c:v>41183</c:v>
                </c:pt>
                <c:pt idx="154">
                  <c:v>41214</c:v>
                </c:pt>
                <c:pt idx="155">
                  <c:v>41244</c:v>
                </c:pt>
                <c:pt idx="156">
                  <c:v>41275</c:v>
                </c:pt>
                <c:pt idx="157">
                  <c:v>41306</c:v>
                </c:pt>
                <c:pt idx="158">
                  <c:v>41334</c:v>
                </c:pt>
                <c:pt idx="159">
                  <c:v>41365</c:v>
                </c:pt>
                <c:pt idx="160">
                  <c:v>41395</c:v>
                </c:pt>
                <c:pt idx="161">
                  <c:v>41426</c:v>
                </c:pt>
                <c:pt idx="162">
                  <c:v>41456</c:v>
                </c:pt>
                <c:pt idx="163">
                  <c:v>41487</c:v>
                </c:pt>
                <c:pt idx="164">
                  <c:v>41518</c:v>
                </c:pt>
                <c:pt idx="165">
                  <c:v>41548</c:v>
                </c:pt>
                <c:pt idx="166">
                  <c:v>41579</c:v>
                </c:pt>
                <c:pt idx="167">
                  <c:v>41609</c:v>
                </c:pt>
                <c:pt idx="168">
                  <c:v>41640</c:v>
                </c:pt>
                <c:pt idx="169">
                  <c:v>41671</c:v>
                </c:pt>
                <c:pt idx="170">
                  <c:v>41699</c:v>
                </c:pt>
                <c:pt idx="171">
                  <c:v>41730</c:v>
                </c:pt>
                <c:pt idx="172">
                  <c:v>41760</c:v>
                </c:pt>
                <c:pt idx="173">
                  <c:v>41791</c:v>
                </c:pt>
                <c:pt idx="174">
                  <c:v>41821</c:v>
                </c:pt>
                <c:pt idx="175">
                  <c:v>41852</c:v>
                </c:pt>
                <c:pt idx="176">
                  <c:v>41883</c:v>
                </c:pt>
                <c:pt idx="177">
                  <c:v>41913</c:v>
                </c:pt>
                <c:pt idx="178">
                  <c:v>41944</c:v>
                </c:pt>
                <c:pt idx="179">
                  <c:v>41974</c:v>
                </c:pt>
                <c:pt idx="180">
                  <c:v>42005</c:v>
                </c:pt>
                <c:pt idx="181">
                  <c:v>42036</c:v>
                </c:pt>
                <c:pt idx="182">
                  <c:v>42064</c:v>
                </c:pt>
                <c:pt idx="183">
                  <c:v>42095</c:v>
                </c:pt>
                <c:pt idx="184">
                  <c:v>42125</c:v>
                </c:pt>
                <c:pt idx="185">
                  <c:v>42156</c:v>
                </c:pt>
                <c:pt idx="186">
                  <c:v>42186</c:v>
                </c:pt>
                <c:pt idx="187">
                  <c:v>42217</c:v>
                </c:pt>
                <c:pt idx="188">
                  <c:v>42248</c:v>
                </c:pt>
                <c:pt idx="189">
                  <c:v>42278</c:v>
                </c:pt>
                <c:pt idx="190">
                  <c:v>42309</c:v>
                </c:pt>
                <c:pt idx="191">
                  <c:v>42339</c:v>
                </c:pt>
                <c:pt idx="192">
                  <c:v>42370</c:v>
                </c:pt>
                <c:pt idx="193">
                  <c:v>42401</c:v>
                </c:pt>
                <c:pt idx="194">
                  <c:v>42430</c:v>
                </c:pt>
                <c:pt idx="195">
                  <c:v>42461</c:v>
                </c:pt>
                <c:pt idx="196">
                  <c:v>42491</c:v>
                </c:pt>
                <c:pt idx="197">
                  <c:v>42522</c:v>
                </c:pt>
                <c:pt idx="198">
                  <c:v>42552</c:v>
                </c:pt>
                <c:pt idx="199">
                  <c:v>42583</c:v>
                </c:pt>
                <c:pt idx="200">
                  <c:v>42614</c:v>
                </c:pt>
                <c:pt idx="201">
                  <c:v>42644</c:v>
                </c:pt>
                <c:pt idx="202">
                  <c:v>42675</c:v>
                </c:pt>
                <c:pt idx="203">
                  <c:v>42705</c:v>
                </c:pt>
                <c:pt idx="204">
                  <c:v>42736</c:v>
                </c:pt>
                <c:pt idx="205">
                  <c:v>42767</c:v>
                </c:pt>
                <c:pt idx="206">
                  <c:v>42795</c:v>
                </c:pt>
                <c:pt idx="207">
                  <c:v>42826</c:v>
                </c:pt>
                <c:pt idx="208">
                  <c:v>42856</c:v>
                </c:pt>
                <c:pt idx="209">
                  <c:v>42887</c:v>
                </c:pt>
                <c:pt idx="210">
                  <c:v>42917</c:v>
                </c:pt>
                <c:pt idx="211">
                  <c:v>42948</c:v>
                </c:pt>
                <c:pt idx="212">
                  <c:v>42979</c:v>
                </c:pt>
                <c:pt idx="213">
                  <c:v>43009</c:v>
                </c:pt>
                <c:pt idx="214">
                  <c:v>43040</c:v>
                </c:pt>
                <c:pt idx="215">
                  <c:v>43070</c:v>
                </c:pt>
                <c:pt idx="216">
                  <c:v>43101</c:v>
                </c:pt>
                <c:pt idx="217">
                  <c:v>43132</c:v>
                </c:pt>
                <c:pt idx="218">
                  <c:v>43160</c:v>
                </c:pt>
                <c:pt idx="219">
                  <c:v>43191</c:v>
                </c:pt>
                <c:pt idx="220">
                  <c:v>43221</c:v>
                </c:pt>
                <c:pt idx="221">
                  <c:v>43252</c:v>
                </c:pt>
                <c:pt idx="222">
                  <c:v>43282</c:v>
                </c:pt>
                <c:pt idx="223">
                  <c:v>43313</c:v>
                </c:pt>
                <c:pt idx="224">
                  <c:v>43344</c:v>
                </c:pt>
                <c:pt idx="225">
                  <c:v>43374</c:v>
                </c:pt>
                <c:pt idx="226">
                  <c:v>43405</c:v>
                </c:pt>
                <c:pt idx="227">
                  <c:v>43435</c:v>
                </c:pt>
                <c:pt idx="228">
                  <c:v>43466</c:v>
                </c:pt>
                <c:pt idx="229">
                  <c:v>43497</c:v>
                </c:pt>
                <c:pt idx="230">
                  <c:v>43525</c:v>
                </c:pt>
                <c:pt idx="231">
                  <c:v>43556</c:v>
                </c:pt>
                <c:pt idx="232">
                  <c:v>43586</c:v>
                </c:pt>
                <c:pt idx="233">
                  <c:v>43617</c:v>
                </c:pt>
                <c:pt idx="234">
                  <c:v>43647</c:v>
                </c:pt>
                <c:pt idx="235">
                  <c:v>43678</c:v>
                </c:pt>
                <c:pt idx="236">
                  <c:v>43709</c:v>
                </c:pt>
                <c:pt idx="237">
                  <c:v>43739</c:v>
                </c:pt>
                <c:pt idx="238">
                  <c:v>43770</c:v>
                </c:pt>
                <c:pt idx="239">
                  <c:v>43800</c:v>
                </c:pt>
                <c:pt idx="240">
                  <c:v>43831</c:v>
                </c:pt>
                <c:pt idx="241">
                  <c:v>43862</c:v>
                </c:pt>
                <c:pt idx="242">
                  <c:v>43891</c:v>
                </c:pt>
                <c:pt idx="243">
                  <c:v>43922</c:v>
                </c:pt>
                <c:pt idx="244">
                  <c:v>43952</c:v>
                </c:pt>
                <c:pt idx="245">
                  <c:v>43983</c:v>
                </c:pt>
                <c:pt idx="246">
                  <c:v>44013</c:v>
                </c:pt>
                <c:pt idx="247">
                  <c:v>44044</c:v>
                </c:pt>
                <c:pt idx="248">
                  <c:v>44075</c:v>
                </c:pt>
                <c:pt idx="249">
                  <c:v>44105</c:v>
                </c:pt>
                <c:pt idx="250">
                  <c:v>44136</c:v>
                </c:pt>
                <c:pt idx="251">
                  <c:v>44166</c:v>
                </c:pt>
                <c:pt idx="252">
                  <c:v>44197</c:v>
                </c:pt>
                <c:pt idx="253">
                  <c:v>44228</c:v>
                </c:pt>
                <c:pt idx="254">
                  <c:v>44256</c:v>
                </c:pt>
                <c:pt idx="255">
                  <c:v>44287</c:v>
                </c:pt>
                <c:pt idx="256">
                  <c:v>44317</c:v>
                </c:pt>
                <c:pt idx="257">
                  <c:v>44348</c:v>
                </c:pt>
                <c:pt idx="258">
                  <c:v>44378</c:v>
                </c:pt>
                <c:pt idx="259">
                  <c:v>44409</c:v>
                </c:pt>
                <c:pt idx="260">
                  <c:v>44440</c:v>
                </c:pt>
                <c:pt idx="261">
                  <c:v>44470</c:v>
                </c:pt>
                <c:pt idx="262">
                  <c:v>44501</c:v>
                </c:pt>
                <c:pt idx="263">
                  <c:v>44531</c:v>
                </c:pt>
                <c:pt idx="264">
                  <c:v>44562</c:v>
                </c:pt>
                <c:pt idx="265">
                  <c:v>44593</c:v>
                </c:pt>
                <c:pt idx="266">
                  <c:v>44621</c:v>
                </c:pt>
                <c:pt idx="267">
                  <c:v>44652</c:v>
                </c:pt>
                <c:pt idx="268">
                  <c:v>44682</c:v>
                </c:pt>
                <c:pt idx="269">
                  <c:v>44713</c:v>
                </c:pt>
                <c:pt idx="270">
                  <c:v>44743</c:v>
                </c:pt>
                <c:pt idx="271">
                  <c:v>44774</c:v>
                </c:pt>
                <c:pt idx="272">
                  <c:v>44805</c:v>
                </c:pt>
                <c:pt idx="273">
                  <c:v>44835</c:v>
                </c:pt>
                <c:pt idx="274">
                  <c:v>44866</c:v>
                </c:pt>
                <c:pt idx="275">
                  <c:v>44896</c:v>
                </c:pt>
                <c:pt idx="276">
                  <c:v>44927</c:v>
                </c:pt>
                <c:pt idx="277">
                  <c:v>44958</c:v>
                </c:pt>
                <c:pt idx="278">
                  <c:v>44986</c:v>
                </c:pt>
                <c:pt idx="279">
                  <c:v>45017</c:v>
                </c:pt>
                <c:pt idx="280">
                  <c:v>45047</c:v>
                </c:pt>
                <c:pt idx="281">
                  <c:v>45078</c:v>
                </c:pt>
                <c:pt idx="282">
                  <c:v>45108</c:v>
                </c:pt>
                <c:pt idx="283">
                  <c:v>45139</c:v>
                </c:pt>
                <c:pt idx="284">
                  <c:v>45170</c:v>
                </c:pt>
                <c:pt idx="285">
                  <c:v>45200</c:v>
                </c:pt>
                <c:pt idx="286">
                  <c:v>45231</c:v>
                </c:pt>
                <c:pt idx="287">
                  <c:v>45261</c:v>
                </c:pt>
                <c:pt idx="288">
                  <c:v>45292</c:v>
                </c:pt>
                <c:pt idx="289">
                  <c:v>45323</c:v>
                </c:pt>
                <c:pt idx="290">
                  <c:v>45352</c:v>
                </c:pt>
                <c:pt idx="291">
                  <c:v>45383</c:v>
                </c:pt>
                <c:pt idx="292">
                  <c:v>45413</c:v>
                </c:pt>
                <c:pt idx="293">
                  <c:v>45444</c:v>
                </c:pt>
                <c:pt idx="294">
                  <c:v>45474</c:v>
                </c:pt>
                <c:pt idx="295">
                  <c:v>45505</c:v>
                </c:pt>
                <c:pt idx="296">
                  <c:v>45536</c:v>
                </c:pt>
                <c:pt idx="297">
                  <c:v>45566</c:v>
                </c:pt>
                <c:pt idx="298">
                  <c:v>45597</c:v>
                </c:pt>
                <c:pt idx="299">
                  <c:v>45627</c:v>
                </c:pt>
                <c:pt idx="300">
                  <c:v>45658</c:v>
                </c:pt>
                <c:pt idx="301">
                  <c:v>45689</c:v>
                </c:pt>
                <c:pt idx="302">
                  <c:v>45717</c:v>
                </c:pt>
                <c:pt idx="303">
                  <c:v>45748</c:v>
                </c:pt>
                <c:pt idx="304">
                  <c:v>45778</c:v>
                </c:pt>
                <c:pt idx="305">
                  <c:v>45809</c:v>
                </c:pt>
                <c:pt idx="306">
                  <c:v>45839</c:v>
                </c:pt>
                <c:pt idx="307">
                  <c:v>45870</c:v>
                </c:pt>
                <c:pt idx="308">
                  <c:v>45901</c:v>
                </c:pt>
                <c:pt idx="309">
                  <c:v>45931</c:v>
                </c:pt>
                <c:pt idx="310">
                  <c:v>45962</c:v>
                </c:pt>
                <c:pt idx="311">
                  <c:v>45992</c:v>
                </c:pt>
                <c:pt idx="312">
                  <c:v>46023</c:v>
                </c:pt>
                <c:pt idx="313">
                  <c:v>46054</c:v>
                </c:pt>
                <c:pt idx="314">
                  <c:v>46082</c:v>
                </c:pt>
              </c:numCache>
            </c:numRef>
          </c:cat>
          <c:val>
            <c:numRef>
              <c:f>inflation!$C$3:$C$317</c:f>
              <c:numCache>
                <c:formatCode>0.00</c:formatCode>
                <c:ptCount val="315"/>
                <c:pt idx="0">
                  <c:v>1.8502356432187117</c:v>
                </c:pt>
                <c:pt idx="1">
                  <c:v>1.9327877415984629</c:v>
                </c:pt>
                <c:pt idx="2">
                  <c:v>1.9621462059385308</c:v>
                </c:pt>
                <c:pt idx="3">
                  <c:v>1.7133956386292892</c:v>
                </c:pt>
                <c:pt idx="4">
                  <c:v>1.7464983572540227</c:v>
                </c:pt>
                <c:pt idx="5">
                  <c:v>2.144586648218616</c:v>
                </c:pt>
                <c:pt idx="6">
                  <c:v>2.106353591160226</c:v>
                </c:pt>
                <c:pt idx="7">
                  <c:v>2.0693222969477398</c:v>
                </c:pt>
                <c:pt idx="8">
                  <c:v>2.4129610479145081</c:v>
                </c:pt>
                <c:pt idx="9">
                  <c:v>2.3944875107665853</c:v>
                </c:pt>
                <c:pt idx="10">
                  <c:v>2.442800619301555</c:v>
                </c:pt>
                <c:pt idx="11">
                  <c:v>2.5034293552812059</c:v>
                </c:pt>
                <c:pt idx="12">
                  <c:v>2.0994665289967296</c:v>
                </c:pt>
                <c:pt idx="13">
                  <c:v>2.0929833590667357</c:v>
                </c:pt>
                <c:pt idx="14">
                  <c:v>2.2735042735042787</c:v>
                </c:pt>
                <c:pt idx="15">
                  <c:v>2.7834699453551881</c:v>
                </c:pt>
                <c:pt idx="16">
                  <c:v>3.1377899045020419</c:v>
                </c:pt>
                <c:pt idx="17">
                  <c:v>2.9401767505098597</c:v>
                </c:pt>
                <c:pt idx="18">
                  <c:v>2.5976230899830144</c:v>
                </c:pt>
                <c:pt idx="19">
                  <c:v>2.443162538174426</c:v>
                </c:pt>
                <c:pt idx="20">
                  <c:v>2.2804054054053946</c:v>
                </c:pt>
                <c:pt idx="21">
                  <c:v>2.3130170521695081</c:v>
                </c:pt>
                <c:pt idx="22">
                  <c:v>2.0215633423180668</c:v>
                </c:pt>
                <c:pt idx="23">
                  <c:v>2.0980194696206711</c:v>
                </c:pt>
                <c:pt idx="24">
                  <c:v>2.6630709590426349</c:v>
                </c:pt>
                <c:pt idx="25">
                  <c:v>2.5037808771634973</c:v>
                </c:pt>
                <c:pt idx="26">
                  <c:v>2.5238174828681403</c:v>
                </c:pt>
                <c:pt idx="27">
                  <c:v>2.3758099352051865</c:v>
                </c:pt>
                <c:pt idx="28">
                  <c:v>2.0833333333333481</c:v>
                </c:pt>
                <c:pt idx="29">
                  <c:v>1.8821198613174772</c:v>
                </c:pt>
                <c:pt idx="30">
                  <c:v>2.0023167301009392</c:v>
                </c:pt>
                <c:pt idx="31">
                  <c:v>2.1695925803246086</c:v>
                </c:pt>
                <c:pt idx="32">
                  <c:v>2.1304706853839894</c:v>
                </c:pt>
                <c:pt idx="33">
                  <c:v>2.2937293729373032</c:v>
                </c:pt>
                <c:pt idx="34">
                  <c:v>2.2787318361954911</c:v>
                </c:pt>
                <c:pt idx="35">
                  <c:v>2.317935229327639</c:v>
                </c:pt>
                <c:pt idx="36">
                  <c:v>2.1342965030372696</c:v>
                </c:pt>
                <c:pt idx="37">
                  <c:v>2.3934426229508254</c:v>
                </c:pt>
                <c:pt idx="38">
                  <c:v>2.4127812194326692</c:v>
                </c:pt>
                <c:pt idx="39">
                  <c:v>2.1097046413502074</c:v>
                </c:pt>
                <c:pt idx="40">
                  <c:v>1.8464528668610258</c:v>
                </c:pt>
                <c:pt idx="41">
                  <c:v>2.0256036298817115</c:v>
                </c:pt>
                <c:pt idx="42">
                  <c:v>1.9954574951330351</c:v>
                </c:pt>
                <c:pt idx="43">
                  <c:v>2.0586804992705598</c:v>
                </c:pt>
                <c:pt idx="44">
                  <c:v>2.1668822768434515</c:v>
                </c:pt>
                <c:pt idx="45">
                  <c:v>2.0809808033553701</c:v>
                </c:pt>
                <c:pt idx="46">
                  <c:v>2.1956732321601447</c:v>
                </c:pt>
                <c:pt idx="47">
                  <c:v>2.0244215938303389</c:v>
                </c:pt>
                <c:pt idx="48">
                  <c:v>1.8485773991319787</c:v>
                </c:pt>
                <c:pt idx="49">
                  <c:v>1.6810758885686727</c:v>
                </c:pt>
                <c:pt idx="50">
                  <c:v>1.7351162050302404</c:v>
                </c:pt>
                <c:pt idx="51">
                  <c:v>2.0820089001907238</c:v>
                </c:pt>
                <c:pt idx="52">
                  <c:v>2.4809160305343525</c:v>
                </c:pt>
                <c:pt idx="53">
                  <c:v>2.414231257941557</c:v>
                </c:pt>
                <c:pt idx="54">
                  <c:v>2.3381581040241795</c:v>
                </c:pt>
                <c:pt idx="55">
                  <c:v>2.3983481575603482</c:v>
                </c:pt>
                <c:pt idx="56">
                  <c:v>2.152579930357712</c:v>
                </c:pt>
                <c:pt idx="57">
                  <c:v>2.3862199747155532</c:v>
                </c:pt>
                <c:pt idx="58">
                  <c:v>2.274881516587679</c:v>
                </c:pt>
                <c:pt idx="59">
                  <c:v>2.346456692913379</c:v>
                </c:pt>
                <c:pt idx="60">
                  <c:v>1.9412878787878896</c:v>
                </c:pt>
                <c:pt idx="61">
                  <c:v>2.0784128483703368</c:v>
                </c:pt>
                <c:pt idx="62">
                  <c:v>2.1905805038335169</c:v>
                </c:pt>
                <c:pt idx="63">
                  <c:v>2.1018215787015349</c:v>
                </c:pt>
                <c:pt idx="64">
                  <c:v>1.9863438857852245</c:v>
                </c:pt>
                <c:pt idx="65">
                  <c:v>2.0471464019851116</c:v>
                </c:pt>
                <c:pt idx="66">
                  <c:v>2.1448554553932242</c:v>
                </c:pt>
                <c:pt idx="67">
                  <c:v>2.1870637505816637</c:v>
                </c:pt>
                <c:pt idx="68">
                  <c:v>2.6030368763557465</c:v>
                </c:pt>
                <c:pt idx="69">
                  <c:v>2.4695169007562745</c:v>
                </c:pt>
                <c:pt idx="70">
                  <c:v>2.3324065492740242</c:v>
                </c:pt>
                <c:pt idx="71">
                  <c:v>2.2772734266810257</c:v>
                </c:pt>
                <c:pt idx="72">
                  <c:v>2.4616813748258304</c:v>
                </c:pt>
                <c:pt idx="73">
                  <c:v>2.3754434675304692</c:v>
                </c:pt>
                <c:pt idx="74">
                  <c:v>2.2048690858980313</c:v>
                </c:pt>
                <c:pt idx="75">
                  <c:v>2.470265324794152</c:v>
                </c:pt>
                <c:pt idx="76">
                  <c:v>2.5410833840535663</c:v>
                </c:pt>
                <c:pt idx="77">
                  <c:v>2.4924012158054731</c:v>
                </c:pt>
                <c:pt idx="78">
                  <c:v>2.4802191113816097</c:v>
                </c:pt>
                <c:pt idx="79">
                  <c:v>2.3224043715847076</c:v>
                </c:pt>
                <c:pt idx="80">
                  <c:v>1.7970401691331794</c:v>
                </c:pt>
                <c:pt idx="81">
                  <c:v>1.6267510167193855</c:v>
                </c:pt>
                <c:pt idx="82">
                  <c:v>1.8867924528301883</c:v>
                </c:pt>
                <c:pt idx="83">
                  <c:v>1.925680758236803</c:v>
                </c:pt>
                <c:pt idx="84">
                  <c:v>1.873677848292532</c:v>
                </c:pt>
                <c:pt idx="85">
                  <c:v>1.8683139972879292</c:v>
                </c:pt>
                <c:pt idx="86">
                  <c:v>1.9625468164794047</c:v>
                </c:pt>
                <c:pt idx="87">
                  <c:v>1.9196428571428559</c:v>
                </c:pt>
                <c:pt idx="88">
                  <c:v>1.8845526042439387</c:v>
                </c:pt>
                <c:pt idx="89">
                  <c:v>1.9128113879003594</c:v>
                </c:pt>
                <c:pt idx="90">
                  <c:v>1.7965850037119591</c:v>
                </c:pt>
                <c:pt idx="91">
                  <c:v>1.7801513128615998</c:v>
                </c:pt>
                <c:pt idx="92">
                  <c:v>2.1806853582554409</c:v>
                </c:pt>
                <c:pt idx="93">
                  <c:v>2.5937453683118505</c:v>
                </c:pt>
                <c:pt idx="94">
                  <c:v>3.0962962962963081</c:v>
                </c:pt>
                <c:pt idx="95">
                  <c:v>3.1291512915129216</c:v>
                </c:pt>
                <c:pt idx="96">
                  <c:v>3.2779590625926947</c:v>
                </c:pt>
                <c:pt idx="97">
                  <c:v>3.3427007839077039</c:v>
                </c:pt>
                <c:pt idx="98">
                  <c:v>3.6732295033793605</c:v>
                </c:pt>
                <c:pt idx="99">
                  <c:v>3.3581544751058789</c:v>
                </c:pt>
                <c:pt idx="100">
                  <c:v>3.7576463734343202</c:v>
                </c:pt>
                <c:pt idx="101">
                  <c:v>4.0448130365197121</c:v>
                </c:pt>
                <c:pt idx="102">
                  <c:v>4.1569428238039663</c:v>
                </c:pt>
                <c:pt idx="103">
                  <c:v>3.9352864013992184</c:v>
                </c:pt>
                <c:pt idx="104">
                  <c:v>3.716608594657389</c:v>
                </c:pt>
                <c:pt idx="105">
                  <c:v>3.2360589425021624</c:v>
                </c:pt>
                <c:pt idx="106">
                  <c:v>2.1985917516884612</c:v>
                </c:pt>
                <c:pt idx="107">
                  <c:v>1.6602261342493208</c:v>
                </c:pt>
                <c:pt idx="108">
                  <c:v>1.1920149360907573</c:v>
                </c:pt>
                <c:pt idx="109">
                  <c:v>1.259481894947756</c:v>
                </c:pt>
                <c:pt idx="110">
                  <c:v>0.63775510204082675</c:v>
                </c:pt>
                <c:pt idx="111">
                  <c:v>0.66393558412205511</c:v>
                </c:pt>
                <c:pt idx="112">
                  <c:v>8.422234699607678E-2</c:v>
                </c:pt>
                <c:pt idx="113">
                  <c:v>-9.7888407215784845E-2</c:v>
                </c:pt>
                <c:pt idx="114">
                  <c:v>-0.61616020165242702</c:v>
                </c:pt>
                <c:pt idx="115">
                  <c:v>-0.14023278642547599</c:v>
                </c:pt>
                <c:pt idx="116">
                  <c:v>-0.3079507278835325</c:v>
                </c:pt>
                <c:pt idx="117">
                  <c:v>-0.11195074167366093</c:v>
                </c:pt>
                <c:pt idx="118">
                  <c:v>0.49212598425196763</c:v>
                </c:pt>
                <c:pt idx="119">
                  <c:v>0.91510629311559732</c:v>
                </c:pt>
                <c:pt idx="120">
                  <c:v>0.92250922509224953</c:v>
                </c:pt>
                <c:pt idx="121">
                  <c:v>0.81978798586572754</c:v>
                </c:pt>
                <c:pt idx="122">
                  <c:v>1.5631601182932053</c:v>
                </c:pt>
                <c:pt idx="123">
                  <c:v>1.6138085882682951</c:v>
                </c:pt>
                <c:pt idx="124">
                  <c:v>1.6690042075736322</c:v>
                </c:pt>
                <c:pt idx="125">
                  <c:v>1.4837625979843283</c:v>
                </c:pt>
                <c:pt idx="126">
                  <c:v>1.7190362124841485</c:v>
                </c:pt>
                <c:pt idx="127">
                  <c:v>1.572812807190016</c:v>
                </c:pt>
                <c:pt idx="128">
                  <c:v>1.8674529626509395</c:v>
                </c:pt>
                <c:pt idx="129">
                  <c:v>1.9473241804426999</c:v>
                </c:pt>
                <c:pt idx="130">
                  <c:v>1.9168882048411939</c:v>
                </c:pt>
                <c:pt idx="131">
                  <c:v>2.2181919642856984</c:v>
                </c:pt>
                <c:pt idx="132">
                  <c:v>2.3203487554493085</c:v>
                </c:pt>
                <c:pt idx="133">
                  <c:v>2.4393663255292131</c:v>
                </c:pt>
                <c:pt idx="134">
                  <c:v>2.6760953965612844</c:v>
                </c:pt>
                <c:pt idx="135">
                  <c:v>2.8311006767021141</c:v>
                </c:pt>
                <c:pt idx="136">
                  <c:v>2.7314112291350501</c:v>
                </c:pt>
                <c:pt idx="137">
                  <c:v>2.7172413793103534</c:v>
                </c:pt>
                <c:pt idx="138">
                  <c:v>2.5626818118853256</c:v>
                </c:pt>
                <c:pt idx="139">
                  <c:v>2.5577215539886788</c:v>
                </c:pt>
                <c:pt idx="140">
                  <c:v>2.9910406616126872</c:v>
                </c:pt>
                <c:pt idx="141">
                  <c:v>3.0369657826027296</c:v>
                </c:pt>
                <c:pt idx="142">
                  <c:v>3.0203185063152116</c:v>
                </c:pt>
                <c:pt idx="143">
                  <c:v>2.7569264364678769</c:v>
                </c:pt>
                <c:pt idx="144">
                  <c:v>2.6525563496426541</c:v>
                </c:pt>
                <c:pt idx="145">
                  <c:v>2.7234159025592009</c:v>
                </c:pt>
                <c:pt idx="146">
                  <c:v>2.6738690074274096</c:v>
                </c:pt>
                <c:pt idx="147">
                  <c:v>2.5919957023905482</c:v>
                </c:pt>
                <c:pt idx="148">
                  <c:v>2.4439371559017209</c:v>
                </c:pt>
                <c:pt idx="149">
                  <c:v>2.3633677991137469</c:v>
                </c:pt>
                <c:pt idx="150">
                  <c:v>2.4176121015667018</c:v>
                </c:pt>
                <c:pt idx="151">
                  <c:v>2.6152601779455331</c:v>
                </c:pt>
                <c:pt idx="152">
                  <c:v>2.6231263383297732</c:v>
                </c:pt>
                <c:pt idx="153">
                  <c:v>2.507335289410495</c:v>
                </c:pt>
                <c:pt idx="154">
                  <c:v>2.2121535181236718</c:v>
                </c:pt>
                <c:pt idx="155">
                  <c:v>2.2313720281577742</c:v>
                </c:pt>
                <c:pt idx="156">
                  <c:v>1.9949123041906658</c:v>
                </c:pt>
                <c:pt idx="157">
                  <c:v>1.8651745270450215</c:v>
                </c:pt>
                <c:pt idx="158">
                  <c:v>1.749309483098771</c:v>
                </c:pt>
                <c:pt idx="159">
                  <c:v>1.1781646812410118</c:v>
                </c:pt>
                <c:pt idx="160">
                  <c:v>1.415650806134483</c:v>
                </c:pt>
                <c:pt idx="161">
                  <c:v>1.6135379771743175</c:v>
                </c:pt>
                <c:pt idx="162">
                  <c:v>1.6088619279968297</c:v>
                </c:pt>
                <c:pt idx="163">
                  <c:v>1.3399894902784926</c:v>
                </c:pt>
                <c:pt idx="164">
                  <c:v>1.0824204486176381</c:v>
                </c:pt>
                <c:pt idx="165">
                  <c:v>0.72859744990891873</c:v>
                </c:pt>
                <c:pt idx="166">
                  <c:v>0.84745762711864181</c:v>
                </c:pt>
                <c:pt idx="167">
                  <c:v>0.84448486423283065</c:v>
                </c:pt>
                <c:pt idx="168">
                  <c:v>0.76135468626936653</c:v>
                </c:pt>
                <c:pt idx="169">
                  <c:v>0.70625163484174802</c:v>
                </c:pt>
                <c:pt idx="170">
                  <c:v>0.45243019648395499</c:v>
                </c:pt>
                <c:pt idx="171">
                  <c:v>0.69866735670849334</c:v>
                </c:pt>
                <c:pt idx="172">
                  <c:v>0.49114643918830581</c:v>
                </c:pt>
                <c:pt idx="173">
                  <c:v>0.49057578104829691</c:v>
                </c:pt>
                <c:pt idx="174">
                  <c:v>0.36340038935755992</c:v>
                </c:pt>
                <c:pt idx="175">
                  <c:v>0.36297640653357721</c:v>
                </c:pt>
                <c:pt idx="176">
                  <c:v>0.32253902722230166</c:v>
                </c:pt>
                <c:pt idx="177">
                  <c:v>0.37458021183156553</c:v>
                </c:pt>
                <c:pt idx="178">
                  <c:v>0.28442146089204812</c:v>
                </c:pt>
                <c:pt idx="179">
                  <c:v>-0.16748260757537548</c:v>
                </c:pt>
                <c:pt idx="180">
                  <c:v>-0.59927045336113371</c:v>
                </c:pt>
                <c:pt idx="181">
                  <c:v>-0.29870129870130935</c:v>
                </c:pt>
                <c:pt idx="182">
                  <c:v>-6.43417835542337E-2</c:v>
                </c:pt>
                <c:pt idx="183">
                  <c:v>0.20557625594244122</c:v>
                </c:pt>
                <c:pt idx="184">
                  <c:v>0.59163987138262097</c:v>
                </c:pt>
                <c:pt idx="185">
                  <c:v>0.48818088386433089</c:v>
                </c:pt>
                <c:pt idx="186">
                  <c:v>0.54312685891633183</c:v>
                </c:pt>
                <c:pt idx="187">
                  <c:v>0.43916300697495192</c:v>
                </c:pt>
                <c:pt idx="188">
                  <c:v>0.19290123456789932</c:v>
                </c:pt>
                <c:pt idx="189">
                  <c:v>0.38605070132544661</c:v>
                </c:pt>
                <c:pt idx="190">
                  <c:v>0.12891581797087603</c:v>
                </c:pt>
                <c:pt idx="191">
                  <c:v>0.24519292811977511</c:v>
                </c:pt>
                <c:pt idx="192">
                  <c:v>0.31454783748363635</c:v>
                </c:pt>
                <c:pt idx="193">
                  <c:v>-0.13025921583951217</c:v>
                </c:pt>
                <c:pt idx="194">
                  <c:v>-5.1506567087289401E-2</c:v>
                </c:pt>
                <c:pt idx="195">
                  <c:v>-0.25644313373508476</c:v>
                </c:pt>
                <c:pt idx="196">
                  <c:v>-0.12786088735454726</c:v>
                </c:pt>
                <c:pt idx="197">
                  <c:v>3.8353362311438488E-2</c:v>
                </c:pt>
                <c:pt idx="198">
                  <c:v>0.1672025723472581</c:v>
                </c:pt>
                <c:pt idx="199">
                  <c:v>0.2057613168724215</c:v>
                </c:pt>
                <c:pt idx="200">
                  <c:v>0.39789500705942338</c:v>
                </c:pt>
                <c:pt idx="201">
                  <c:v>0.49993590565311496</c:v>
                </c:pt>
                <c:pt idx="202">
                  <c:v>0.57937427578216294</c:v>
                </c:pt>
                <c:pt idx="203">
                  <c:v>1.0942327497425186</c:v>
                </c:pt>
                <c:pt idx="204">
                  <c:v>1.7245884504833997</c:v>
                </c:pt>
                <c:pt idx="205">
                  <c:v>1.9564366766662289</c:v>
                </c:pt>
                <c:pt idx="206">
                  <c:v>1.5331100231898986</c:v>
                </c:pt>
                <c:pt idx="207">
                  <c:v>1.8897030466640929</c:v>
                </c:pt>
                <c:pt idx="208">
                  <c:v>1.395467929842531</c:v>
                </c:pt>
                <c:pt idx="209">
                  <c:v>1.3035143769968061</c:v>
                </c:pt>
                <c:pt idx="210">
                  <c:v>1.335387776065744</c:v>
                </c:pt>
                <c:pt idx="211">
                  <c:v>1.5400410677618215</c:v>
                </c:pt>
                <c:pt idx="212">
                  <c:v>1.5597034006647803</c:v>
                </c:pt>
                <c:pt idx="213">
                  <c:v>1.377551020408152</c:v>
                </c:pt>
                <c:pt idx="214">
                  <c:v>1.5360983102918446</c:v>
                </c:pt>
                <c:pt idx="215">
                  <c:v>1.3498026232013238</c:v>
                </c:pt>
                <c:pt idx="216">
                  <c:v>1.2972001027485192</c:v>
                </c:pt>
                <c:pt idx="217">
                  <c:v>1.1129589356530634</c:v>
                </c:pt>
                <c:pt idx="218">
                  <c:v>1.3957619591422388</c:v>
                </c:pt>
                <c:pt idx="219">
                  <c:v>1.2364370426444449</c:v>
                </c:pt>
                <c:pt idx="220">
                  <c:v>1.9444444444444375</c:v>
                </c:pt>
                <c:pt idx="221">
                  <c:v>1.9679576132206389</c:v>
                </c:pt>
                <c:pt idx="222">
                  <c:v>2.1920932589964526</c:v>
                </c:pt>
                <c:pt idx="223">
                  <c:v>2.0854398382204042</c:v>
                </c:pt>
                <c:pt idx="224">
                  <c:v>2.0770392749244859</c:v>
                </c:pt>
                <c:pt idx="225">
                  <c:v>2.2773024660291963</c:v>
                </c:pt>
                <c:pt idx="226">
                  <c:v>1.9162884518406642</c:v>
                </c:pt>
                <c:pt idx="227">
                  <c:v>1.5202914939062673</c:v>
                </c:pt>
                <c:pt idx="228">
                  <c:v>1.3820210472929917</c:v>
                </c:pt>
                <c:pt idx="229">
                  <c:v>1.4802631578947123</c:v>
                </c:pt>
                <c:pt idx="230">
                  <c:v>1.4015767738706053</c:v>
                </c:pt>
                <c:pt idx="231">
                  <c:v>1.7198404785643273</c:v>
                </c:pt>
                <c:pt idx="232">
                  <c:v>1.2261580381471404</c:v>
                </c:pt>
                <c:pt idx="233">
                  <c:v>1.2619077075343155</c:v>
                </c:pt>
                <c:pt idx="234">
                  <c:v>1.0167389956602602</c:v>
                </c:pt>
                <c:pt idx="235">
                  <c:v>1.0152284263959421</c:v>
                </c:pt>
                <c:pt idx="236">
                  <c:v>0.82624244666420488</c:v>
                </c:pt>
                <c:pt idx="237">
                  <c:v>0.72579653093860497</c:v>
                </c:pt>
                <c:pt idx="238">
                  <c:v>0.95249876298861835</c:v>
                </c:pt>
                <c:pt idx="239">
                  <c:v>1.324257425742581</c:v>
                </c:pt>
                <c:pt idx="240">
                  <c:v>1.3631815907954037</c:v>
                </c:pt>
                <c:pt idx="241">
                  <c:v>1.2217927939159656</c:v>
                </c:pt>
                <c:pt idx="242">
                  <c:v>0.74046649389114538</c:v>
                </c:pt>
                <c:pt idx="243">
                  <c:v>0.30629747610879665</c:v>
                </c:pt>
                <c:pt idx="244">
                  <c:v>7.3412455646648667E-2</c:v>
                </c:pt>
                <c:pt idx="245">
                  <c:v>0.26878436163713104</c:v>
                </c:pt>
                <c:pt idx="246">
                  <c:v>0.38050816251380404</c:v>
                </c:pt>
                <c:pt idx="247">
                  <c:v>-0.18384605956612843</c:v>
                </c:pt>
                <c:pt idx="248">
                  <c:v>-0.30577299412916092</c:v>
                </c:pt>
                <c:pt idx="249">
                  <c:v>-0.26868588177820785</c:v>
                </c:pt>
                <c:pt idx="250">
                  <c:v>-0.2818282073275391</c:v>
                </c:pt>
                <c:pt idx="251">
                  <c:v>-0.26871870037864509</c:v>
                </c:pt>
                <c:pt idx="252">
                  <c:v>0.90067859346083523</c:v>
                </c:pt>
                <c:pt idx="253">
                  <c:v>0.94839265919448579</c:v>
                </c:pt>
                <c:pt idx="254">
                  <c:v>1.3352933970353975</c:v>
                </c:pt>
                <c:pt idx="255">
                  <c:v>1.6123122022718928</c:v>
                </c:pt>
                <c:pt idx="256">
                  <c:v>1.9806822349920372</c:v>
                </c:pt>
                <c:pt idx="257">
                  <c:v>1.9008163762641583</c:v>
                </c:pt>
                <c:pt idx="258">
                  <c:v>2.1765712888236699</c:v>
                </c:pt>
                <c:pt idx="259">
                  <c:v>2.9592337917485168</c:v>
                </c:pt>
                <c:pt idx="260">
                  <c:v>3.361550729971774</c:v>
                </c:pt>
                <c:pt idx="261">
                  <c:v>4.0411462160176326</c:v>
                </c:pt>
                <c:pt idx="262">
                  <c:v>4.8660604571147736</c:v>
                </c:pt>
                <c:pt idx="263">
                  <c:v>4.9601959583588373</c:v>
                </c:pt>
                <c:pt idx="264">
                  <c:v>5.1112741501589509</c:v>
                </c:pt>
                <c:pt idx="265">
                  <c:v>5.8687164470473396</c:v>
                </c:pt>
                <c:pt idx="266">
                  <c:v>7.4468085106383031</c:v>
                </c:pt>
                <c:pt idx="267">
                  <c:v>7.4648395239812482</c:v>
                </c:pt>
                <c:pt idx="268">
                  <c:v>8.0685769092434967</c:v>
                </c:pt>
                <c:pt idx="269">
                  <c:v>8.6691378691857057</c:v>
                </c:pt>
                <c:pt idx="270">
                  <c:v>8.8918142651986507</c:v>
                </c:pt>
                <c:pt idx="271">
                  <c:v>9.171138938580814</c:v>
                </c:pt>
                <c:pt idx="272">
                  <c:v>9.9465875370919896</c:v>
                </c:pt>
                <c:pt idx="273">
                  <c:v>10.640301318267431</c:v>
                </c:pt>
                <c:pt idx="274">
                  <c:v>10.077337707991552</c:v>
                </c:pt>
                <c:pt idx="275">
                  <c:v>9.2298716452742013</c:v>
                </c:pt>
                <c:pt idx="276">
                  <c:v>8.6668217775709664</c:v>
                </c:pt>
                <c:pt idx="277">
                  <c:v>8.5282931888901672</c:v>
                </c:pt>
                <c:pt idx="278">
                  <c:v>6.9081908190819163</c:v>
                </c:pt>
                <c:pt idx="279">
                  <c:v>6.9574944071588263</c:v>
                </c:pt>
                <c:pt idx="280">
                  <c:v>6.1127135566896085</c:v>
                </c:pt>
                <c:pt idx="281">
                  <c:v>5.5237676056338225</c:v>
                </c:pt>
                <c:pt idx="282">
                  <c:v>5.29728541597978</c:v>
                </c:pt>
                <c:pt idx="283">
                  <c:v>5.2326851649552086</c:v>
                </c:pt>
                <c:pt idx="284">
                  <c:v>4.3290510633704038</c:v>
                </c:pt>
                <c:pt idx="285">
                  <c:v>2.9042553191489295</c:v>
                </c:pt>
                <c:pt idx="286">
                  <c:v>2.3951458377687862</c:v>
                </c:pt>
                <c:pt idx="287">
                  <c:v>2.9270377096463962</c:v>
                </c:pt>
                <c:pt idx="288">
                  <c:v>2.7727224065945855</c:v>
                </c:pt>
                <c:pt idx="289">
                  <c:v>2.5804396304555555</c:v>
                </c:pt>
                <c:pt idx="290">
                  <c:v>2.4310671437592024</c:v>
                </c:pt>
                <c:pt idx="291">
                  <c:v>2.3739803388412417</c:v>
                </c:pt>
                <c:pt idx="292">
                  <c:v>2.5614218504965924</c:v>
                </c:pt>
                <c:pt idx="293">
                  <c:v>2.5130344108446279</c:v>
                </c:pt>
                <c:pt idx="294">
                  <c:v>2.5884563197996036</c:v>
                </c:pt>
                <c:pt idx="295">
                  <c:v>2.1696252465483346</c:v>
                </c:pt>
                <c:pt idx="296">
                  <c:v>1.7487582781456901</c:v>
                </c:pt>
                <c:pt idx="297">
                  <c:v>2.0055825493642043</c:v>
                </c:pt>
                <c:pt idx="298">
                  <c:v>2.2455556710676783</c:v>
                </c:pt>
                <c:pt idx="299">
                  <c:v>2.4286455630513792</c:v>
                </c:pt>
                <c:pt idx="300">
                  <c:v>2.5208333333333277</c:v>
                </c:pt>
                <c:pt idx="301">
                  <c:v>2.3188405797101463</c:v>
                </c:pt>
                <c:pt idx="302">
                  <c:v>2.1781567861913098</c:v>
                </c:pt>
                <c:pt idx="303">
                  <c:v>2.1656961896005855</c:v>
                </c:pt>
                <c:pt idx="304">
                  <c:v>1.8960244648318136</c:v>
                </c:pt>
                <c:pt idx="305">
                  <c:v>1.9835215135795004</c:v>
                </c:pt>
                <c:pt idx="306">
                  <c:v>2.0347949944043098</c:v>
                </c:pt>
                <c:pt idx="307">
                  <c:v>2.0422678317415288</c:v>
                </c:pt>
                <c:pt idx="308">
                  <c:v>2.2271941421743158</c:v>
                </c:pt>
                <c:pt idx="309">
                  <c:v>2.0979020979020824</c:v>
                </c:pt>
                <c:pt idx="310">
                  <c:v>2.135231316725994</c:v>
                </c:pt>
                <c:pt idx="311">
                  <c:v>1.9657513425878959</c:v>
                </c:pt>
                <c:pt idx="312">
                  <c:v>1.6561674456411213</c:v>
                </c:pt>
                <c:pt idx="313">
                  <c:v>1.8919465803318491</c:v>
                </c:pt>
                <c:pt idx="314">
                  <c:v>2.5540472599296038</c:v>
                </c:pt>
              </c:numCache>
            </c:numRef>
          </c:val>
          <c:smooth val="0"/>
          <c:extLst>
            <c:ext xmlns:c16="http://schemas.microsoft.com/office/drawing/2014/chart" uri="{C3380CC4-5D6E-409C-BE32-E72D297353CC}">
              <c16:uniqueId val="{00000001-DA42-465C-96A8-91D264DBDD12}"/>
            </c:ext>
          </c:extLst>
        </c:ser>
        <c:ser>
          <c:idx val="2"/>
          <c:order val="2"/>
          <c:tx>
            <c:strRef>
              <c:f>inflation!$D$2</c:f>
              <c:strCache>
                <c:ptCount val="1"/>
                <c:pt idx="0">
                  <c:v>Στόχος 2% </c:v>
                </c:pt>
              </c:strCache>
            </c:strRef>
          </c:tx>
          <c:spPr>
            <a:ln w="28575" cap="rnd">
              <a:solidFill>
                <a:schemeClr val="accent3"/>
              </a:solidFill>
              <a:round/>
            </a:ln>
            <a:effectLst/>
          </c:spPr>
          <c:marker>
            <c:symbol val="none"/>
          </c:marker>
          <c:cat>
            <c:numRef>
              <c:f>inflation!$A$3:$A$317</c:f>
              <c:numCache>
                <c:formatCode>yyyy\-mm</c:formatCode>
                <c:ptCount val="315"/>
                <c:pt idx="0">
                  <c:v>36526</c:v>
                </c:pt>
                <c:pt idx="1">
                  <c:v>36557</c:v>
                </c:pt>
                <c:pt idx="2">
                  <c:v>36586</c:v>
                </c:pt>
                <c:pt idx="3">
                  <c:v>36617</c:v>
                </c:pt>
                <c:pt idx="4">
                  <c:v>36647</c:v>
                </c:pt>
                <c:pt idx="5">
                  <c:v>36678</c:v>
                </c:pt>
                <c:pt idx="6">
                  <c:v>36708</c:v>
                </c:pt>
                <c:pt idx="7">
                  <c:v>36739</c:v>
                </c:pt>
                <c:pt idx="8">
                  <c:v>36770</c:v>
                </c:pt>
                <c:pt idx="9">
                  <c:v>36800</c:v>
                </c:pt>
                <c:pt idx="10">
                  <c:v>36831</c:v>
                </c:pt>
                <c:pt idx="11">
                  <c:v>36861</c:v>
                </c:pt>
                <c:pt idx="12">
                  <c:v>36892</c:v>
                </c:pt>
                <c:pt idx="13">
                  <c:v>36923</c:v>
                </c:pt>
                <c:pt idx="14">
                  <c:v>36951</c:v>
                </c:pt>
                <c:pt idx="15">
                  <c:v>36982</c:v>
                </c:pt>
                <c:pt idx="16">
                  <c:v>37012</c:v>
                </c:pt>
                <c:pt idx="17">
                  <c:v>37043</c:v>
                </c:pt>
                <c:pt idx="18">
                  <c:v>37073</c:v>
                </c:pt>
                <c:pt idx="19">
                  <c:v>37104</c:v>
                </c:pt>
                <c:pt idx="20">
                  <c:v>37135</c:v>
                </c:pt>
                <c:pt idx="21">
                  <c:v>37165</c:v>
                </c:pt>
                <c:pt idx="22">
                  <c:v>37196</c:v>
                </c:pt>
                <c:pt idx="23">
                  <c:v>37226</c:v>
                </c:pt>
                <c:pt idx="24">
                  <c:v>37257</c:v>
                </c:pt>
                <c:pt idx="25">
                  <c:v>37288</c:v>
                </c:pt>
                <c:pt idx="26">
                  <c:v>37316</c:v>
                </c:pt>
                <c:pt idx="27">
                  <c:v>37347</c:v>
                </c:pt>
                <c:pt idx="28">
                  <c:v>37377</c:v>
                </c:pt>
                <c:pt idx="29">
                  <c:v>37408</c:v>
                </c:pt>
                <c:pt idx="30">
                  <c:v>37438</c:v>
                </c:pt>
                <c:pt idx="31">
                  <c:v>37469</c:v>
                </c:pt>
                <c:pt idx="32">
                  <c:v>37500</c:v>
                </c:pt>
                <c:pt idx="33">
                  <c:v>37530</c:v>
                </c:pt>
                <c:pt idx="34">
                  <c:v>37561</c:v>
                </c:pt>
                <c:pt idx="35">
                  <c:v>37591</c:v>
                </c:pt>
                <c:pt idx="36">
                  <c:v>37622</c:v>
                </c:pt>
                <c:pt idx="37">
                  <c:v>37653</c:v>
                </c:pt>
                <c:pt idx="38">
                  <c:v>37681</c:v>
                </c:pt>
                <c:pt idx="39">
                  <c:v>37712</c:v>
                </c:pt>
                <c:pt idx="40">
                  <c:v>37742</c:v>
                </c:pt>
                <c:pt idx="41">
                  <c:v>37773</c:v>
                </c:pt>
                <c:pt idx="42">
                  <c:v>37803</c:v>
                </c:pt>
                <c:pt idx="43">
                  <c:v>37834</c:v>
                </c:pt>
                <c:pt idx="44">
                  <c:v>37865</c:v>
                </c:pt>
                <c:pt idx="45">
                  <c:v>37895</c:v>
                </c:pt>
                <c:pt idx="46">
                  <c:v>37926</c:v>
                </c:pt>
                <c:pt idx="47">
                  <c:v>37956</c:v>
                </c:pt>
                <c:pt idx="48">
                  <c:v>37987</c:v>
                </c:pt>
                <c:pt idx="49">
                  <c:v>38018</c:v>
                </c:pt>
                <c:pt idx="50">
                  <c:v>38047</c:v>
                </c:pt>
                <c:pt idx="51">
                  <c:v>38078</c:v>
                </c:pt>
                <c:pt idx="52">
                  <c:v>38108</c:v>
                </c:pt>
                <c:pt idx="53">
                  <c:v>38139</c:v>
                </c:pt>
                <c:pt idx="54">
                  <c:v>38169</c:v>
                </c:pt>
                <c:pt idx="55">
                  <c:v>38200</c:v>
                </c:pt>
                <c:pt idx="56">
                  <c:v>38231</c:v>
                </c:pt>
                <c:pt idx="57">
                  <c:v>38261</c:v>
                </c:pt>
                <c:pt idx="58">
                  <c:v>38292</c:v>
                </c:pt>
                <c:pt idx="59">
                  <c:v>38322</c:v>
                </c:pt>
                <c:pt idx="60">
                  <c:v>38353</c:v>
                </c:pt>
                <c:pt idx="61">
                  <c:v>38384</c:v>
                </c:pt>
                <c:pt idx="62">
                  <c:v>38412</c:v>
                </c:pt>
                <c:pt idx="63">
                  <c:v>38443</c:v>
                </c:pt>
                <c:pt idx="64">
                  <c:v>38473</c:v>
                </c:pt>
                <c:pt idx="65">
                  <c:v>38504</c:v>
                </c:pt>
                <c:pt idx="66">
                  <c:v>38534</c:v>
                </c:pt>
                <c:pt idx="67">
                  <c:v>38565</c:v>
                </c:pt>
                <c:pt idx="68">
                  <c:v>38596</c:v>
                </c:pt>
                <c:pt idx="69">
                  <c:v>38626</c:v>
                </c:pt>
                <c:pt idx="70">
                  <c:v>38657</c:v>
                </c:pt>
                <c:pt idx="71">
                  <c:v>38687</c:v>
                </c:pt>
                <c:pt idx="72">
                  <c:v>38718</c:v>
                </c:pt>
                <c:pt idx="73">
                  <c:v>38749</c:v>
                </c:pt>
                <c:pt idx="74">
                  <c:v>38777</c:v>
                </c:pt>
                <c:pt idx="75">
                  <c:v>38808</c:v>
                </c:pt>
                <c:pt idx="76">
                  <c:v>38838</c:v>
                </c:pt>
                <c:pt idx="77">
                  <c:v>38869</c:v>
                </c:pt>
                <c:pt idx="78">
                  <c:v>38899</c:v>
                </c:pt>
                <c:pt idx="79">
                  <c:v>38930</c:v>
                </c:pt>
                <c:pt idx="80">
                  <c:v>38961</c:v>
                </c:pt>
                <c:pt idx="81">
                  <c:v>38991</c:v>
                </c:pt>
                <c:pt idx="82">
                  <c:v>39022</c:v>
                </c:pt>
                <c:pt idx="83">
                  <c:v>39052</c:v>
                </c:pt>
                <c:pt idx="84">
                  <c:v>39083</c:v>
                </c:pt>
                <c:pt idx="85">
                  <c:v>39114</c:v>
                </c:pt>
                <c:pt idx="86">
                  <c:v>39142</c:v>
                </c:pt>
                <c:pt idx="87">
                  <c:v>39173</c:v>
                </c:pt>
                <c:pt idx="88">
                  <c:v>39203</c:v>
                </c:pt>
                <c:pt idx="89">
                  <c:v>39234</c:v>
                </c:pt>
                <c:pt idx="90">
                  <c:v>39264</c:v>
                </c:pt>
                <c:pt idx="91">
                  <c:v>39295</c:v>
                </c:pt>
                <c:pt idx="92">
                  <c:v>39326</c:v>
                </c:pt>
                <c:pt idx="93">
                  <c:v>39356</c:v>
                </c:pt>
                <c:pt idx="94">
                  <c:v>39387</c:v>
                </c:pt>
                <c:pt idx="95">
                  <c:v>39417</c:v>
                </c:pt>
                <c:pt idx="96">
                  <c:v>39448</c:v>
                </c:pt>
                <c:pt idx="97">
                  <c:v>39479</c:v>
                </c:pt>
                <c:pt idx="98">
                  <c:v>39508</c:v>
                </c:pt>
                <c:pt idx="99">
                  <c:v>39539</c:v>
                </c:pt>
                <c:pt idx="100">
                  <c:v>39569</c:v>
                </c:pt>
                <c:pt idx="101">
                  <c:v>39600</c:v>
                </c:pt>
                <c:pt idx="102">
                  <c:v>39630</c:v>
                </c:pt>
                <c:pt idx="103">
                  <c:v>39661</c:v>
                </c:pt>
                <c:pt idx="104">
                  <c:v>39692</c:v>
                </c:pt>
                <c:pt idx="105">
                  <c:v>39722</c:v>
                </c:pt>
                <c:pt idx="106">
                  <c:v>39753</c:v>
                </c:pt>
                <c:pt idx="107">
                  <c:v>39783</c:v>
                </c:pt>
                <c:pt idx="108">
                  <c:v>39814</c:v>
                </c:pt>
                <c:pt idx="109">
                  <c:v>39845</c:v>
                </c:pt>
                <c:pt idx="110">
                  <c:v>39873</c:v>
                </c:pt>
                <c:pt idx="111">
                  <c:v>39904</c:v>
                </c:pt>
                <c:pt idx="112">
                  <c:v>39934</c:v>
                </c:pt>
                <c:pt idx="113">
                  <c:v>39965</c:v>
                </c:pt>
                <c:pt idx="114">
                  <c:v>39995</c:v>
                </c:pt>
                <c:pt idx="115">
                  <c:v>40026</c:v>
                </c:pt>
                <c:pt idx="116">
                  <c:v>40057</c:v>
                </c:pt>
                <c:pt idx="117">
                  <c:v>40087</c:v>
                </c:pt>
                <c:pt idx="118">
                  <c:v>40118</c:v>
                </c:pt>
                <c:pt idx="119">
                  <c:v>40148</c:v>
                </c:pt>
                <c:pt idx="120">
                  <c:v>40179</c:v>
                </c:pt>
                <c:pt idx="121">
                  <c:v>40210</c:v>
                </c:pt>
                <c:pt idx="122">
                  <c:v>40238</c:v>
                </c:pt>
                <c:pt idx="123">
                  <c:v>40269</c:v>
                </c:pt>
                <c:pt idx="124">
                  <c:v>40299</c:v>
                </c:pt>
                <c:pt idx="125">
                  <c:v>40330</c:v>
                </c:pt>
                <c:pt idx="126">
                  <c:v>40360</c:v>
                </c:pt>
                <c:pt idx="127">
                  <c:v>40391</c:v>
                </c:pt>
                <c:pt idx="128">
                  <c:v>40422</c:v>
                </c:pt>
                <c:pt idx="129">
                  <c:v>40452</c:v>
                </c:pt>
                <c:pt idx="130">
                  <c:v>40483</c:v>
                </c:pt>
                <c:pt idx="131">
                  <c:v>40513</c:v>
                </c:pt>
                <c:pt idx="132">
                  <c:v>40544</c:v>
                </c:pt>
                <c:pt idx="133">
                  <c:v>40575</c:v>
                </c:pt>
                <c:pt idx="134">
                  <c:v>40603</c:v>
                </c:pt>
                <c:pt idx="135">
                  <c:v>40634</c:v>
                </c:pt>
                <c:pt idx="136">
                  <c:v>40664</c:v>
                </c:pt>
                <c:pt idx="137">
                  <c:v>40695</c:v>
                </c:pt>
                <c:pt idx="138">
                  <c:v>40725</c:v>
                </c:pt>
                <c:pt idx="139">
                  <c:v>40756</c:v>
                </c:pt>
                <c:pt idx="140">
                  <c:v>40787</c:v>
                </c:pt>
                <c:pt idx="141">
                  <c:v>40817</c:v>
                </c:pt>
                <c:pt idx="142">
                  <c:v>40848</c:v>
                </c:pt>
                <c:pt idx="143">
                  <c:v>40878</c:v>
                </c:pt>
                <c:pt idx="144">
                  <c:v>40909</c:v>
                </c:pt>
                <c:pt idx="145">
                  <c:v>40940</c:v>
                </c:pt>
                <c:pt idx="146">
                  <c:v>40969</c:v>
                </c:pt>
                <c:pt idx="147">
                  <c:v>41000</c:v>
                </c:pt>
                <c:pt idx="148">
                  <c:v>41030</c:v>
                </c:pt>
                <c:pt idx="149">
                  <c:v>41061</c:v>
                </c:pt>
                <c:pt idx="150">
                  <c:v>41091</c:v>
                </c:pt>
                <c:pt idx="151">
                  <c:v>41122</c:v>
                </c:pt>
                <c:pt idx="152">
                  <c:v>41153</c:v>
                </c:pt>
                <c:pt idx="153">
                  <c:v>41183</c:v>
                </c:pt>
                <c:pt idx="154">
                  <c:v>41214</c:v>
                </c:pt>
                <c:pt idx="155">
                  <c:v>41244</c:v>
                </c:pt>
                <c:pt idx="156">
                  <c:v>41275</c:v>
                </c:pt>
                <c:pt idx="157">
                  <c:v>41306</c:v>
                </c:pt>
                <c:pt idx="158">
                  <c:v>41334</c:v>
                </c:pt>
                <c:pt idx="159">
                  <c:v>41365</c:v>
                </c:pt>
                <c:pt idx="160">
                  <c:v>41395</c:v>
                </c:pt>
                <c:pt idx="161">
                  <c:v>41426</c:v>
                </c:pt>
                <c:pt idx="162">
                  <c:v>41456</c:v>
                </c:pt>
                <c:pt idx="163">
                  <c:v>41487</c:v>
                </c:pt>
                <c:pt idx="164">
                  <c:v>41518</c:v>
                </c:pt>
                <c:pt idx="165">
                  <c:v>41548</c:v>
                </c:pt>
                <c:pt idx="166">
                  <c:v>41579</c:v>
                </c:pt>
                <c:pt idx="167">
                  <c:v>41609</c:v>
                </c:pt>
                <c:pt idx="168">
                  <c:v>41640</c:v>
                </c:pt>
                <c:pt idx="169">
                  <c:v>41671</c:v>
                </c:pt>
                <c:pt idx="170">
                  <c:v>41699</c:v>
                </c:pt>
                <c:pt idx="171">
                  <c:v>41730</c:v>
                </c:pt>
                <c:pt idx="172">
                  <c:v>41760</c:v>
                </c:pt>
                <c:pt idx="173">
                  <c:v>41791</c:v>
                </c:pt>
                <c:pt idx="174">
                  <c:v>41821</c:v>
                </c:pt>
                <c:pt idx="175">
                  <c:v>41852</c:v>
                </c:pt>
                <c:pt idx="176">
                  <c:v>41883</c:v>
                </c:pt>
                <c:pt idx="177">
                  <c:v>41913</c:v>
                </c:pt>
                <c:pt idx="178">
                  <c:v>41944</c:v>
                </c:pt>
                <c:pt idx="179">
                  <c:v>41974</c:v>
                </c:pt>
                <c:pt idx="180">
                  <c:v>42005</c:v>
                </c:pt>
                <c:pt idx="181">
                  <c:v>42036</c:v>
                </c:pt>
                <c:pt idx="182">
                  <c:v>42064</c:v>
                </c:pt>
                <c:pt idx="183">
                  <c:v>42095</c:v>
                </c:pt>
                <c:pt idx="184">
                  <c:v>42125</c:v>
                </c:pt>
                <c:pt idx="185">
                  <c:v>42156</c:v>
                </c:pt>
                <c:pt idx="186">
                  <c:v>42186</c:v>
                </c:pt>
                <c:pt idx="187">
                  <c:v>42217</c:v>
                </c:pt>
                <c:pt idx="188">
                  <c:v>42248</c:v>
                </c:pt>
                <c:pt idx="189">
                  <c:v>42278</c:v>
                </c:pt>
                <c:pt idx="190">
                  <c:v>42309</c:v>
                </c:pt>
                <c:pt idx="191">
                  <c:v>42339</c:v>
                </c:pt>
                <c:pt idx="192">
                  <c:v>42370</c:v>
                </c:pt>
                <c:pt idx="193">
                  <c:v>42401</c:v>
                </c:pt>
                <c:pt idx="194">
                  <c:v>42430</c:v>
                </c:pt>
                <c:pt idx="195">
                  <c:v>42461</c:v>
                </c:pt>
                <c:pt idx="196">
                  <c:v>42491</c:v>
                </c:pt>
                <c:pt idx="197">
                  <c:v>42522</c:v>
                </c:pt>
                <c:pt idx="198">
                  <c:v>42552</c:v>
                </c:pt>
                <c:pt idx="199">
                  <c:v>42583</c:v>
                </c:pt>
                <c:pt idx="200">
                  <c:v>42614</c:v>
                </c:pt>
                <c:pt idx="201">
                  <c:v>42644</c:v>
                </c:pt>
                <c:pt idx="202">
                  <c:v>42675</c:v>
                </c:pt>
                <c:pt idx="203">
                  <c:v>42705</c:v>
                </c:pt>
                <c:pt idx="204">
                  <c:v>42736</c:v>
                </c:pt>
                <c:pt idx="205">
                  <c:v>42767</c:v>
                </c:pt>
                <c:pt idx="206">
                  <c:v>42795</c:v>
                </c:pt>
                <c:pt idx="207">
                  <c:v>42826</c:v>
                </c:pt>
                <c:pt idx="208">
                  <c:v>42856</c:v>
                </c:pt>
                <c:pt idx="209">
                  <c:v>42887</c:v>
                </c:pt>
                <c:pt idx="210">
                  <c:v>42917</c:v>
                </c:pt>
                <c:pt idx="211">
                  <c:v>42948</c:v>
                </c:pt>
                <c:pt idx="212">
                  <c:v>42979</c:v>
                </c:pt>
                <c:pt idx="213">
                  <c:v>43009</c:v>
                </c:pt>
                <c:pt idx="214">
                  <c:v>43040</c:v>
                </c:pt>
                <c:pt idx="215">
                  <c:v>43070</c:v>
                </c:pt>
                <c:pt idx="216">
                  <c:v>43101</c:v>
                </c:pt>
                <c:pt idx="217">
                  <c:v>43132</c:v>
                </c:pt>
                <c:pt idx="218">
                  <c:v>43160</c:v>
                </c:pt>
                <c:pt idx="219">
                  <c:v>43191</c:v>
                </c:pt>
                <c:pt idx="220">
                  <c:v>43221</c:v>
                </c:pt>
                <c:pt idx="221">
                  <c:v>43252</c:v>
                </c:pt>
                <c:pt idx="222">
                  <c:v>43282</c:v>
                </c:pt>
                <c:pt idx="223">
                  <c:v>43313</c:v>
                </c:pt>
                <c:pt idx="224">
                  <c:v>43344</c:v>
                </c:pt>
                <c:pt idx="225">
                  <c:v>43374</c:v>
                </c:pt>
                <c:pt idx="226">
                  <c:v>43405</c:v>
                </c:pt>
                <c:pt idx="227">
                  <c:v>43435</c:v>
                </c:pt>
                <c:pt idx="228">
                  <c:v>43466</c:v>
                </c:pt>
                <c:pt idx="229">
                  <c:v>43497</c:v>
                </c:pt>
                <c:pt idx="230">
                  <c:v>43525</c:v>
                </c:pt>
                <c:pt idx="231">
                  <c:v>43556</c:v>
                </c:pt>
                <c:pt idx="232">
                  <c:v>43586</c:v>
                </c:pt>
                <c:pt idx="233">
                  <c:v>43617</c:v>
                </c:pt>
                <c:pt idx="234">
                  <c:v>43647</c:v>
                </c:pt>
                <c:pt idx="235">
                  <c:v>43678</c:v>
                </c:pt>
                <c:pt idx="236">
                  <c:v>43709</c:v>
                </c:pt>
                <c:pt idx="237">
                  <c:v>43739</c:v>
                </c:pt>
                <c:pt idx="238">
                  <c:v>43770</c:v>
                </c:pt>
                <c:pt idx="239">
                  <c:v>43800</c:v>
                </c:pt>
                <c:pt idx="240">
                  <c:v>43831</c:v>
                </c:pt>
                <c:pt idx="241">
                  <c:v>43862</c:v>
                </c:pt>
                <c:pt idx="242">
                  <c:v>43891</c:v>
                </c:pt>
                <c:pt idx="243">
                  <c:v>43922</c:v>
                </c:pt>
                <c:pt idx="244">
                  <c:v>43952</c:v>
                </c:pt>
                <c:pt idx="245">
                  <c:v>43983</c:v>
                </c:pt>
                <c:pt idx="246">
                  <c:v>44013</c:v>
                </c:pt>
                <c:pt idx="247">
                  <c:v>44044</c:v>
                </c:pt>
                <c:pt idx="248">
                  <c:v>44075</c:v>
                </c:pt>
                <c:pt idx="249">
                  <c:v>44105</c:v>
                </c:pt>
                <c:pt idx="250">
                  <c:v>44136</c:v>
                </c:pt>
                <c:pt idx="251">
                  <c:v>44166</c:v>
                </c:pt>
                <c:pt idx="252">
                  <c:v>44197</c:v>
                </c:pt>
                <c:pt idx="253">
                  <c:v>44228</c:v>
                </c:pt>
                <c:pt idx="254">
                  <c:v>44256</c:v>
                </c:pt>
                <c:pt idx="255">
                  <c:v>44287</c:v>
                </c:pt>
                <c:pt idx="256">
                  <c:v>44317</c:v>
                </c:pt>
                <c:pt idx="257">
                  <c:v>44348</c:v>
                </c:pt>
                <c:pt idx="258">
                  <c:v>44378</c:v>
                </c:pt>
                <c:pt idx="259">
                  <c:v>44409</c:v>
                </c:pt>
                <c:pt idx="260">
                  <c:v>44440</c:v>
                </c:pt>
                <c:pt idx="261">
                  <c:v>44470</c:v>
                </c:pt>
                <c:pt idx="262">
                  <c:v>44501</c:v>
                </c:pt>
                <c:pt idx="263">
                  <c:v>44531</c:v>
                </c:pt>
                <c:pt idx="264">
                  <c:v>44562</c:v>
                </c:pt>
                <c:pt idx="265">
                  <c:v>44593</c:v>
                </c:pt>
                <c:pt idx="266">
                  <c:v>44621</c:v>
                </c:pt>
                <c:pt idx="267">
                  <c:v>44652</c:v>
                </c:pt>
                <c:pt idx="268">
                  <c:v>44682</c:v>
                </c:pt>
                <c:pt idx="269">
                  <c:v>44713</c:v>
                </c:pt>
                <c:pt idx="270">
                  <c:v>44743</c:v>
                </c:pt>
                <c:pt idx="271">
                  <c:v>44774</c:v>
                </c:pt>
                <c:pt idx="272">
                  <c:v>44805</c:v>
                </c:pt>
                <c:pt idx="273">
                  <c:v>44835</c:v>
                </c:pt>
                <c:pt idx="274">
                  <c:v>44866</c:v>
                </c:pt>
                <c:pt idx="275">
                  <c:v>44896</c:v>
                </c:pt>
                <c:pt idx="276">
                  <c:v>44927</c:v>
                </c:pt>
                <c:pt idx="277">
                  <c:v>44958</c:v>
                </c:pt>
                <c:pt idx="278">
                  <c:v>44986</c:v>
                </c:pt>
                <c:pt idx="279">
                  <c:v>45017</c:v>
                </c:pt>
                <c:pt idx="280">
                  <c:v>45047</c:v>
                </c:pt>
                <c:pt idx="281">
                  <c:v>45078</c:v>
                </c:pt>
                <c:pt idx="282">
                  <c:v>45108</c:v>
                </c:pt>
                <c:pt idx="283">
                  <c:v>45139</c:v>
                </c:pt>
                <c:pt idx="284">
                  <c:v>45170</c:v>
                </c:pt>
                <c:pt idx="285">
                  <c:v>45200</c:v>
                </c:pt>
                <c:pt idx="286">
                  <c:v>45231</c:v>
                </c:pt>
                <c:pt idx="287">
                  <c:v>45261</c:v>
                </c:pt>
                <c:pt idx="288">
                  <c:v>45292</c:v>
                </c:pt>
                <c:pt idx="289">
                  <c:v>45323</c:v>
                </c:pt>
                <c:pt idx="290">
                  <c:v>45352</c:v>
                </c:pt>
                <c:pt idx="291">
                  <c:v>45383</c:v>
                </c:pt>
                <c:pt idx="292">
                  <c:v>45413</c:v>
                </c:pt>
                <c:pt idx="293">
                  <c:v>45444</c:v>
                </c:pt>
                <c:pt idx="294">
                  <c:v>45474</c:v>
                </c:pt>
                <c:pt idx="295">
                  <c:v>45505</c:v>
                </c:pt>
                <c:pt idx="296">
                  <c:v>45536</c:v>
                </c:pt>
                <c:pt idx="297">
                  <c:v>45566</c:v>
                </c:pt>
                <c:pt idx="298">
                  <c:v>45597</c:v>
                </c:pt>
                <c:pt idx="299">
                  <c:v>45627</c:v>
                </c:pt>
                <c:pt idx="300">
                  <c:v>45658</c:v>
                </c:pt>
                <c:pt idx="301">
                  <c:v>45689</c:v>
                </c:pt>
                <c:pt idx="302">
                  <c:v>45717</c:v>
                </c:pt>
                <c:pt idx="303">
                  <c:v>45748</c:v>
                </c:pt>
                <c:pt idx="304">
                  <c:v>45778</c:v>
                </c:pt>
                <c:pt idx="305">
                  <c:v>45809</c:v>
                </c:pt>
                <c:pt idx="306">
                  <c:v>45839</c:v>
                </c:pt>
                <c:pt idx="307">
                  <c:v>45870</c:v>
                </c:pt>
                <c:pt idx="308">
                  <c:v>45901</c:v>
                </c:pt>
                <c:pt idx="309">
                  <c:v>45931</c:v>
                </c:pt>
                <c:pt idx="310">
                  <c:v>45962</c:v>
                </c:pt>
                <c:pt idx="311">
                  <c:v>45992</c:v>
                </c:pt>
                <c:pt idx="312">
                  <c:v>46023</c:v>
                </c:pt>
                <c:pt idx="313">
                  <c:v>46054</c:v>
                </c:pt>
                <c:pt idx="314">
                  <c:v>46082</c:v>
                </c:pt>
              </c:numCache>
            </c:numRef>
          </c:cat>
          <c:val>
            <c:numRef>
              <c:f>inflation!$D$3:$D$317</c:f>
              <c:numCache>
                <c:formatCode>General</c:formatCode>
                <c:ptCount val="315"/>
                <c:pt idx="0">
                  <c:v>2</c:v>
                </c:pt>
                <c:pt idx="1">
                  <c:v>2</c:v>
                </c:pt>
                <c:pt idx="2">
                  <c:v>2</c:v>
                </c:pt>
                <c:pt idx="3">
                  <c:v>2</c:v>
                </c:pt>
                <c:pt idx="4">
                  <c:v>2</c:v>
                </c:pt>
                <c:pt idx="5">
                  <c:v>2</c:v>
                </c:pt>
                <c:pt idx="6">
                  <c:v>2</c:v>
                </c:pt>
                <c:pt idx="7">
                  <c:v>2</c:v>
                </c:pt>
                <c:pt idx="8">
                  <c:v>2</c:v>
                </c:pt>
                <c:pt idx="9">
                  <c:v>2</c:v>
                </c:pt>
                <c:pt idx="10">
                  <c:v>2</c:v>
                </c:pt>
                <c:pt idx="11">
                  <c:v>2</c:v>
                </c:pt>
                <c:pt idx="12">
                  <c:v>2</c:v>
                </c:pt>
                <c:pt idx="13">
                  <c:v>2</c:v>
                </c:pt>
                <c:pt idx="14">
                  <c:v>2</c:v>
                </c:pt>
                <c:pt idx="15">
                  <c:v>2</c:v>
                </c:pt>
                <c:pt idx="16">
                  <c:v>2</c:v>
                </c:pt>
                <c:pt idx="17">
                  <c:v>2</c:v>
                </c:pt>
                <c:pt idx="18">
                  <c:v>2</c:v>
                </c:pt>
                <c:pt idx="19">
                  <c:v>2</c:v>
                </c:pt>
                <c:pt idx="20">
                  <c:v>2</c:v>
                </c:pt>
                <c:pt idx="21">
                  <c:v>2</c:v>
                </c:pt>
                <c:pt idx="22">
                  <c:v>2</c:v>
                </c:pt>
                <c:pt idx="23">
                  <c:v>2</c:v>
                </c:pt>
                <c:pt idx="24">
                  <c:v>2</c:v>
                </c:pt>
                <c:pt idx="25">
                  <c:v>2</c:v>
                </c:pt>
                <c:pt idx="26">
                  <c:v>2</c:v>
                </c:pt>
                <c:pt idx="27">
                  <c:v>2</c:v>
                </c:pt>
                <c:pt idx="28">
                  <c:v>2</c:v>
                </c:pt>
                <c:pt idx="29">
                  <c:v>2</c:v>
                </c:pt>
                <c:pt idx="30">
                  <c:v>2</c:v>
                </c:pt>
                <c:pt idx="31">
                  <c:v>2</c:v>
                </c:pt>
                <c:pt idx="32">
                  <c:v>2</c:v>
                </c:pt>
                <c:pt idx="33">
                  <c:v>2</c:v>
                </c:pt>
                <c:pt idx="34">
                  <c:v>2</c:v>
                </c:pt>
                <c:pt idx="35">
                  <c:v>2</c:v>
                </c:pt>
                <c:pt idx="36">
                  <c:v>2</c:v>
                </c:pt>
                <c:pt idx="37">
                  <c:v>2</c:v>
                </c:pt>
                <c:pt idx="38">
                  <c:v>2</c:v>
                </c:pt>
                <c:pt idx="39">
                  <c:v>2</c:v>
                </c:pt>
                <c:pt idx="40">
                  <c:v>2</c:v>
                </c:pt>
                <c:pt idx="41">
                  <c:v>2</c:v>
                </c:pt>
                <c:pt idx="42">
                  <c:v>2</c:v>
                </c:pt>
                <c:pt idx="43">
                  <c:v>2</c:v>
                </c:pt>
                <c:pt idx="44">
                  <c:v>2</c:v>
                </c:pt>
                <c:pt idx="45">
                  <c:v>2</c:v>
                </c:pt>
                <c:pt idx="46">
                  <c:v>2</c:v>
                </c:pt>
                <c:pt idx="47">
                  <c:v>2</c:v>
                </c:pt>
                <c:pt idx="48">
                  <c:v>2</c:v>
                </c:pt>
                <c:pt idx="49">
                  <c:v>2</c:v>
                </c:pt>
                <c:pt idx="50">
                  <c:v>2</c:v>
                </c:pt>
                <c:pt idx="51">
                  <c:v>2</c:v>
                </c:pt>
                <c:pt idx="52">
                  <c:v>2</c:v>
                </c:pt>
                <c:pt idx="53">
                  <c:v>2</c:v>
                </c:pt>
                <c:pt idx="54">
                  <c:v>2</c:v>
                </c:pt>
                <c:pt idx="55">
                  <c:v>2</c:v>
                </c:pt>
                <c:pt idx="56">
                  <c:v>2</c:v>
                </c:pt>
                <c:pt idx="57">
                  <c:v>2</c:v>
                </c:pt>
                <c:pt idx="58">
                  <c:v>2</c:v>
                </c:pt>
                <c:pt idx="59">
                  <c:v>2</c:v>
                </c:pt>
                <c:pt idx="60">
                  <c:v>2</c:v>
                </c:pt>
                <c:pt idx="61">
                  <c:v>2</c:v>
                </c:pt>
                <c:pt idx="62">
                  <c:v>2</c:v>
                </c:pt>
                <c:pt idx="63">
                  <c:v>2</c:v>
                </c:pt>
                <c:pt idx="64">
                  <c:v>2</c:v>
                </c:pt>
                <c:pt idx="65">
                  <c:v>2</c:v>
                </c:pt>
                <c:pt idx="66">
                  <c:v>2</c:v>
                </c:pt>
                <c:pt idx="67">
                  <c:v>2</c:v>
                </c:pt>
                <c:pt idx="68">
                  <c:v>2</c:v>
                </c:pt>
                <c:pt idx="69">
                  <c:v>2</c:v>
                </c:pt>
                <c:pt idx="70">
                  <c:v>2</c:v>
                </c:pt>
                <c:pt idx="71">
                  <c:v>2</c:v>
                </c:pt>
                <c:pt idx="72">
                  <c:v>2</c:v>
                </c:pt>
                <c:pt idx="73">
                  <c:v>2</c:v>
                </c:pt>
                <c:pt idx="74">
                  <c:v>2</c:v>
                </c:pt>
                <c:pt idx="75">
                  <c:v>2</c:v>
                </c:pt>
                <c:pt idx="76">
                  <c:v>2</c:v>
                </c:pt>
                <c:pt idx="77">
                  <c:v>2</c:v>
                </c:pt>
                <c:pt idx="78">
                  <c:v>2</c:v>
                </c:pt>
                <c:pt idx="79">
                  <c:v>2</c:v>
                </c:pt>
                <c:pt idx="80">
                  <c:v>2</c:v>
                </c:pt>
                <c:pt idx="81">
                  <c:v>2</c:v>
                </c:pt>
                <c:pt idx="82">
                  <c:v>2</c:v>
                </c:pt>
                <c:pt idx="83">
                  <c:v>2</c:v>
                </c:pt>
                <c:pt idx="84">
                  <c:v>2</c:v>
                </c:pt>
                <c:pt idx="85">
                  <c:v>2</c:v>
                </c:pt>
                <c:pt idx="86">
                  <c:v>2</c:v>
                </c:pt>
                <c:pt idx="87">
                  <c:v>2</c:v>
                </c:pt>
                <c:pt idx="88">
                  <c:v>2</c:v>
                </c:pt>
                <c:pt idx="89">
                  <c:v>2</c:v>
                </c:pt>
                <c:pt idx="90">
                  <c:v>2</c:v>
                </c:pt>
                <c:pt idx="91">
                  <c:v>2</c:v>
                </c:pt>
                <c:pt idx="92">
                  <c:v>2</c:v>
                </c:pt>
                <c:pt idx="93">
                  <c:v>2</c:v>
                </c:pt>
                <c:pt idx="94">
                  <c:v>2</c:v>
                </c:pt>
                <c:pt idx="95">
                  <c:v>2</c:v>
                </c:pt>
                <c:pt idx="96">
                  <c:v>2</c:v>
                </c:pt>
                <c:pt idx="97">
                  <c:v>2</c:v>
                </c:pt>
                <c:pt idx="98">
                  <c:v>2</c:v>
                </c:pt>
                <c:pt idx="99">
                  <c:v>2</c:v>
                </c:pt>
                <c:pt idx="100">
                  <c:v>2</c:v>
                </c:pt>
                <c:pt idx="101">
                  <c:v>2</c:v>
                </c:pt>
                <c:pt idx="102">
                  <c:v>2</c:v>
                </c:pt>
                <c:pt idx="103">
                  <c:v>2</c:v>
                </c:pt>
                <c:pt idx="104">
                  <c:v>2</c:v>
                </c:pt>
                <c:pt idx="105">
                  <c:v>2</c:v>
                </c:pt>
                <c:pt idx="106">
                  <c:v>2</c:v>
                </c:pt>
                <c:pt idx="107">
                  <c:v>2</c:v>
                </c:pt>
                <c:pt idx="108">
                  <c:v>2</c:v>
                </c:pt>
                <c:pt idx="109">
                  <c:v>2</c:v>
                </c:pt>
                <c:pt idx="110">
                  <c:v>2</c:v>
                </c:pt>
                <c:pt idx="111">
                  <c:v>2</c:v>
                </c:pt>
                <c:pt idx="112">
                  <c:v>2</c:v>
                </c:pt>
                <c:pt idx="113">
                  <c:v>2</c:v>
                </c:pt>
                <c:pt idx="114">
                  <c:v>2</c:v>
                </c:pt>
                <c:pt idx="115">
                  <c:v>2</c:v>
                </c:pt>
                <c:pt idx="116">
                  <c:v>2</c:v>
                </c:pt>
                <c:pt idx="117">
                  <c:v>2</c:v>
                </c:pt>
                <c:pt idx="118">
                  <c:v>2</c:v>
                </c:pt>
                <c:pt idx="119">
                  <c:v>2</c:v>
                </c:pt>
                <c:pt idx="120">
                  <c:v>2</c:v>
                </c:pt>
                <c:pt idx="121">
                  <c:v>2</c:v>
                </c:pt>
                <c:pt idx="122">
                  <c:v>2</c:v>
                </c:pt>
                <c:pt idx="123">
                  <c:v>2</c:v>
                </c:pt>
                <c:pt idx="124">
                  <c:v>2</c:v>
                </c:pt>
                <c:pt idx="125">
                  <c:v>2</c:v>
                </c:pt>
                <c:pt idx="126">
                  <c:v>2</c:v>
                </c:pt>
                <c:pt idx="127">
                  <c:v>2</c:v>
                </c:pt>
                <c:pt idx="128">
                  <c:v>2</c:v>
                </c:pt>
                <c:pt idx="129">
                  <c:v>2</c:v>
                </c:pt>
                <c:pt idx="130">
                  <c:v>2</c:v>
                </c:pt>
                <c:pt idx="131">
                  <c:v>2</c:v>
                </c:pt>
                <c:pt idx="132">
                  <c:v>2</c:v>
                </c:pt>
                <c:pt idx="133">
                  <c:v>2</c:v>
                </c:pt>
                <c:pt idx="134">
                  <c:v>2</c:v>
                </c:pt>
                <c:pt idx="135">
                  <c:v>2</c:v>
                </c:pt>
                <c:pt idx="136">
                  <c:v>2</c:v>
                </c:pt>
                <c:pt idx="137">
                  <c:v>2</c:v>
                </c:pt>
                <c:pt idx="138">
                  <c:v>2</c:v>
                </c:pt>
                <c:pt idx="139">
                  <c:v>2</c:v>
                </c:pt>
                <c:pt idx="140">
                  <c:v>2</c:v>
                </c:pt>
                <c:pt idx="141">
                  <c:v>2</c:v>
                </c:pt>
                <c:pt idx="142">
                  <c:v>2</c:v>
                </c:pt>
                <c:pt idx="143">
                  <c:v>2</c:v>
                </c:pt>
                <c:pt idx="144">
                  <c:v>2</c:v>
                </c:pt>
                <c:pt idx="145">
                  <c:v>2</c:v>
                </c:pt>
                <c:pt idx="146">
                  <c:v>2</c:v>
                </c:pt>
                <c:pt idx="147">
                  <c:v>2</c:v>
                </c:pt>
                <c:pt idx="148">
                  <c:v>2</c:v>
                </c:pt>
                <c:pt idx="149">
                  <c:v>2</c:v>
                </c:pt>
                <c:pt idx="150">
                  <c:v>2</c:v>
                </c:pt>
                <c:pt idx="151">
                  <c:v>2</c:v>
                </c:pt>
                <c:pt idx="152">
                  <c:v>2</c:v>
                </c:pt>
                <c:pt idx="153">
                  <c:v>2</c:v>
                </c:pt>
                <c:pt idx="154">
                  <c:v>2</c:v>
                </c:pt>
                <c:pt idx="155">
                  <c:v>2</c:v>
                </c:pt>
                <c:pt idx="156">
                  <c:v>2</c:v>
                </c:pt>
                <c:pt idx="157">
                  <c:v>2</c:v>
                </c:pt>
                <c:pt idx="158">
                  <c:v>2</c:v>
                </c:pt>
                <c:pt idx="159">
                  <c:v>2</c:v>
                </c:pt>
                <c:pt idx="160">
                  <c:v>2</c:v>
                </c:pt>
                <c:pt idx="161">
                  <c:v>2</c:v>
                </c:pt>
                <c:pt idx="162">
                  <c:v>2</c:v>
                </c:pt>
                <c:pt idx="163">
                  <c:v>2</c:v>
                </c:pt>
                <c:pt idx="164">
                  <c:v>2</c:v>
                </c:pt>
                <c:pt idx="165">
                  <c:v>2</c:v>
                </c:pt>
                <c:pt idx="166">
                  <c:v>2</c:v>
                </c:pt>
                <c:pt idx="167">
                  <c:v>2</c:v>
                </c:pt>
                <c:pt idx="168">
                  <c:v>2</c:v>
                </c:pt>
                <c:pt idx="169">
                  <c:v>2</c:v>
                </c:pt>
                <c:pt idx="170">
                  <c:v>2</c:v>
                </c:pt>
                <c:pt idx="171">
                  <c:v>2</c:v>
                </c:pt>
                <c:pt idx="172">
                  <c:v>2</c:v>
                </c:pt>
                <c:pt idx="173">
                  <c:v>2</c:v>
                </c:pt>
                <c:pt idx="174">
                  <c:v>2</c:v>
                </c:pt>
                <c:pt idx="175">
                  <c:v>2</c:v>
                </c:pt>
                <c:pt idx="176">
                  <c:v>2</c:v>
                </c:pt>
                <c:pt idx="177">
                  <c:v>2</c:v>
                </c:pt>
                <c:pt idx="178">
                  <c:v>2</c:v>
                </c:pt>
                <c:pt idx="179">
                  <c:v>2</c:v>
                </c:pt>
                <c:pt idx="180">
                  <c:v>2</c:v>
                </c:pt>
                <c:pt idx="181">
                  <c:v>2</c:v>
                </c:pt>
                <c:pt idx="182">
                  <c:v>2</c:v>
                </c:pt>
                <c:pt idx="183">
                  <c:v>2</c:v>
                </c:pt>
                <c:pt idx="184">
                  <c:v>2</c:v>
                </c:pt>
                <c:pt idx="185">
                  <c:v>2</c:v>
                </c:pt>
                <c:pt idx="186">
                  <c:v>2</c:v>
                </c:pt>
                <c:pt idx="187">
                  <c:v>2</c:v>
                </c:pt>
                <c:pt idx="188">
                  <c:v>2</c:v>
                </c:pt>
                <c:pt idx="189">
                  <c:v>2</c:v>
                </c:pt>
                <c:pt idx="190">
                  <c:v>2</c:v>
                </c:pt>
                <c:pt idx="191">
                  <c:v>2</c:v>
                </c:pt>
                <c:pt idx="192">
                  <c:v>2</c:v>
                </c:pt>
                <c:pt idx="193">
                  <c:v>2</c:v>
                </c:pt>
                <c:pt idx="194">
                  <c:v>2</c:v>
                </c:pt>
                <c:pt idx="195">
                  <c:v>2</c:v>
                </c:pt>
                <c:pt idx="196">
                  <c:v>2</c:v>
                </c:pt>
                <c:pt idx="197">
                  <c:v>2</c:v>
                </c:pt>
                <c:pt idx="198">
                  <c:v>2</c:v>
                </c:pt>
                <c:pt idx="199">
                  <c:v>2</c:v>
                </c:pt>
                <c:pt idx="200">
                  <c:v>2</c:v>
                </c:pt>
                <c:pt idx="201">
                  <c:v>2</c:v>
                </c:pt>
                <c:pt idx="202">
                  <c:v>2</c:v>
                </c:pt>
                <c:pt idx="203">
                  <c:v>2</c:v>
                </c:pt>
                <c:pt idx="204">
                  <c:v>2</c:v>
                </c:pt>
                <c:pt idx="205">
                  <c:v>2</c:v>
                </c:pt>
                <c:pt idx="206">
                  <c:v>2</c:v>
                </c:pt>
                <c:pt idx="207">
                  <c:v>2</c:v>
                </c:pt>
                <c:pt idx="208">
                  <c:v>2</c:v>
                </c:pt>
                <c:pt idx="209">
                  <c:v>2</c:v>
                </c:pt>
                <c:pt idx="210">
                  <c:v>2</c:v>
                </c:pt>
                <c:pt idx="211">
                  <c:v>2</c:v>
                </c:pt>
                <c:pt idx="212">
                  <c:v>2</c:v>
                </c:pt>
                <c:pt idx="213">
                  <c:v>2</c:v>
                </c:pt>
                <c:pt idx="214">
                  <c:v>2</c:v>
                </c:pt>
                <c:pt idx="215">
                  <c:v>2</c:v>
                </c:pt>
                <c:pt idx="216">
                  <c:v>2</c:v>
                </c:pt>
                <c:pt idx="217">
                  <c:v>2</c:v>
                </c:pt>
                <c:pt idx="218">
                  <c:v>2</c:v>
                </c:pt>
                <c:pt idx="219">
                  <c:v>2</c:v>
                </c:pt>
                <c:pt idx="220">
                  <c:v>2</c:v>
                </c:pt>
                <c:pt idx="221">
                  <c:v>2</c:v>
                </c:pt>
                <c:pt idx="222">
                  <c:v>2</c:v>
                </c:pt>
                <c:pt idx="223">
                  <c:v>2</c:v>
                </c:pt>
                <c:pt idx="224">
                  <c:v>2</c:v>
                </c:pt>
                <c:pt idx="225">
                  <c:v>2</c:v>
                </c:pt>
                <c:pt idx="226">
                  <c:v>2</c:v>
                </c:pt>
                <c:pt idx="227">
                  <c:v>2</c:v>
                </c:pt>
                <c:pt idx="228">
                  <c:v>2</c:v>
                </c:pt>
                <c:pt idx="229">
                  <c:v>2</c:v>
                </c:pt>
                <c:pt idx="230">
                  <c:v>2</c:v>
                </c:pt>
                <c:pt idx="231">
                  <c:v>2</c:v>
                </c:pt>
                <c:pt idx="232">
                  <c:v>2</c:v>
                </c:pt>
                <c:pt idx="233">
                  <c:v>2</c:v>
                </c:pt>
                <c:pt idx="234">
                  <c:v>2</c:v>
                </c:pt>
                <c:pt idx="235">
                  <c:v>2</c:v>
                </c:pt>
                <c:pt idx="236">
                  <c:v>2</c:v>
                </c:pt>
                <c:pt idx="237">
                  <c:v>2</c:v>
                </c:pt>
                <c:pt idx="238">
                  <c:v>2</c:v>
                </c:pt>
                <c:pt idx="239">
                  <c:v>2</c:v>
                </c:pt>
                <c:pt idx="240">
                  <c:v>2</c:v>
                </c:pt>
                <c:pt idx="241">
                  <c:v>2</c:v>
                </c:pt>
                <c:pt idx="242">
                  <c:v>2</c:v>
                </c:pt>
                <c:pt idx="243">
                  <c:v>2</c:v>
                </c:pt>
                <c:pt idx="244">
                  <c:v>2</c:v>
                </c:pt>
                <c:pt idx="245">
                  <c:v>2</c:v>
                </c:pt>
                <c:pt idx="246">
                  <c:v>2</c:v>
                </c:pt>
                <c:pt idx="247">
                  <c:v>2</c:v>
                </c:pt>
                <c:pt idx="248">
                  <c:v>2</c:v>
                </c:pt>
                <c:pt idx="249">
                  <c:v>2</c:v>
                </c:pt>
                <c:pt idx="250">
                  <c:v>2</c:v>
                </c:pt>
                <c:pt idx="251">
                  <c:v>2</c:v>
                </c:pt>
                <c:pt idx="252">
                  <c:v>2</c:v>
                </c:pt>
                <c:pt idx="253">
                  <c:v>2</c:v>
                </c:pt>
                <c:pt idx="254">
                  <c:v>2</c:v>
                </c:pt>
                <c:pt idx="255">
                  <c:v>2</c:v>
                </c:pt>
                <c:pt idx="256">
                  <c:v>2</c:v>
                </c:pt>
                <c:pt idx="257">
                  <c:v>2</c:v>
                </c:pt>
                <c:pt idx="258">
                  <c:v>2</c:v>
                </c:pt>
                <c:pt idx="259">
                  <c:v>2</c:v>
                </c:pt>
                <c:pt idx="260">
                  <c:v>2</c:v>
                </c:pt>
                <c:pt idx="261">
                  <c:v>2</c:v>
                </c:pt>
                <c:pt idx="262">
                  <c:v>2</c:v>
                </c:pt>
                <c:pt idx="263">
                  <c:v>2</c:v>
                </c:pt>
                <c:pt idx="264">
                  <c:v>2</c:v>
                </c:pt>
                <c:pt idx="265">
                  <c:v>2</c:v>
                </c:pt>
                <c:pt idx="266">
                  <c:v>2</c:v>
                </c:pt>
                <c:pt idx="267">
                  <c:v>2</c:v>
                </c:pt>
                <c:pt idx="268">
                  <c:v>2</c:v>
                </c:pt>
                <c:pt idx="269">
                  <c:v>2</c:v>
                </c:pt>
                <c:pt idx="270">
                  <c:v>2</c:v>
                </c:pt>
                <c:pt idx="271">
                  <c:v>2</c:v>
                </c:pt>
                <c:pt idx="272">
                  <c:v>2</c:v>
                </c:pt>
                <c:pt idx="273">
                  <c:v>2</c:v>
                </c:pt>
                <c:pt idx="274">
                  <c:v>2</c:v>
                </c:pt>
                <c:pt idx="275">
                  <c:v>2</c:v>
                </c:pt>
                <c:pt idx="276">
                  <c:v>2</c:v>
                </c:pt>
                <c:pt idx="277">
                  <c:v>2</c:v>
                </c:pt>
                <c:pt idx="278">
                  <c:v>2</c:v>
                </c:pt>
                <c:pt idx="279">
                  <c:v>2</c:v>
                </c:pt>
                <c:pt idx="280">
                  <c:v>2</c:v>
                </c:pt>
                <c:pt idx="281">
                  <c:v>2</c:v>
                </c:pt>
                <c:pt idx="282">
                  <c:v>2</c:v>
                </c:pt>
                <c:pt idx="283">
                  <c:v>2</c:v>
                </c:pt>
                <c:pt idx="284">
                  <c:v>2</c:v>
                </c:pt>
                <c:pt idx="285">
                  <c:v>2</c:v>
                </c:pt>
                <c:pt idx="286">
                  <c:v>2</c:v>
                </c:pt>
                <c:pt idx="287">
                  <c:v>2</c:v>
                </c:pt>
                <c:pt idx="288">
                  <c:v>2</c:v>
                </c:pt>
                <c:pt idx="289">
                  <c:v>2</c:v>
                </c:pt>
                <c:pt idx="290">
                  <c:v>2</c:v>
                </c:pt>
                <c:pt idx="291">
                  <c:v>2</c:v>
                </c:pt>
                <c:pt idx="292">
                  <c:v>2</c:v>
                </c:pt>
                <c:pt idx="293">
                  <c:v>2</c:v>
                </c:pt>
                <c:pt idx="294">
                  <c:v>2</c:v>
                </c:pt>
                <c:pt idx="295">
                  <c:v>2</c:v>
                </c:pt>
                <c:pt idx="296">
                  <c:v>2</c:v>
                </c:pt>
                <c:pt idx="297">
                  <c:v>2</c:v>
                </c:pt>
                <c:pt idx="298">
                  <c:v>2</c:v>
                </c:pt>
                <c:pt idx="299">
                  <c:v>2</c:v>
                </c:pt>
                <c:pt idx="300">
                  <c:v>2</c:v>
                </c:pt>
                <c:pt idx="301">
                  <c:v>2</c:v>
                </c:pt>
                <c:pt idx="302">
                  <c:v>2</c:v>
                </c:pt>
                <c:pt idx="303">
                  <c:v>2</c:v>
                </c:pt>
                <c:pt idx="304">
                  <c:v>2</c:v>
                </c:pt>
                <c:pt idx="305">
                  <c:v>2</c:v>
                </c:pt>
                <c:pt idx="306">
                  <c:v>2</c:v>
                </c:pt>
                <c:pt idx="307">
                  <c:v>2</c:v>
                </c:pt>
                <c:pt idx="308">
                  <c:v>2</c:v>
                </c:pt>
                <c:pt idx="309">
                  <c:v>2</c:v>
                </c:pt>
                <c:pt idx="310">
                  <c:v>2</c:v>
                </c:pt>
                <c:pt idx="311">
                  <c:v>2</c:v>
                </c:pt>
                <c:pt idx="312">
                  <c:v>2</c:v>
                </c:pt>
                <c:pt idx="313">
                  <c:v>2</c:v>
                </c:pt>
                <c:pt idx="314">
                  <c:v>2</c:v>
                </c:pt>
              </c:numCache>
            </c:numRef>
          </c:val>
          <c:smooth val="0"/>
          <c:extLst>
            <c:ext xmlns:c16="http://schemas.microsoft.com/office/drawing/2014/chart" uri="{C3380CC4-5D6E-409C-BE32-E72D297353CC}">
              <c16:uniqueId val="{00000002-DA42-465C-96A8-91D264DBDD12}"/>
            </c:ext>
          </c:extLst>
        </c:ser>
        <c:dLbls>
          <c:showLegendKey val="0"/>
          <c:showVal val="0"/>
          <c:showCatName val="0"/>
          <c:showSerName val="0"/>
          <c:showPercent val="0"/>
          <c:showBubbleSize val="0"/>
        </c:dLbls>
        <c:smooth val="0"/>
        <c:axId val="166252928"/>
        <c:axId val="166254464"/>
      </c:lineChart>
      <c:dateAx>
        <c:axId val="166252928"/>
        <c:scaling>
          <c:orientation val="minMax"/>
        </c:scaling>
        <c:delete val="0"/>
        <c:axPos val="b"/>
        <c:numFmt formatCode="yyyy" sourceLinked="0"/>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166254464"/>
        <c:crossesAt val="0"/>
        <c:auto val="1"/>
        <c:lblOffset val="100"/>
        <c:baseTimeUnit val="months"/>
        <c:majorUnit val="12"/>
        <c:majorTimeUnit val="months"/>
        <c:minorUnit val="1"/>
        <c:minorTimeUnit val="months"/>
      </c:dateAx>
      <c:valAx>
        <c:axId val="166254464"/>
        <c:scaling>
          <c:orientation val="minMax"/>
          <c:max val="14"/>
          <c:min val="-4"/>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166252928"/>
        <c:crosses val="autoZero"/>
        <c:crossBetween val="between"/>
      </c:valAx>
      <c:spPr>
        <a:noFill/>
        <a:ln>
          <a:noFill/>
        </a:ln>
        <a:effectLst/>
      </c:spPr>
    </c:plotArea>
    <c:legend>
      <c:legendPos val="b"/>
      <c:layout>
        <c:manualLayout>
          <c:xMode val="edge"/>
          <c:yMode val="edge"/>
          <c:x val="5.8105647218887294E-2"/>
          <c:y val="4.5490153042204017E-2"/>
          <c:w val="0.54384968757624774"/>
          <c:h val="0.2837573208657382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5734717575581584E-2"/>
          <c:y val="1.9900433641446991E-2"/>
          <c:w val="0.93152626803780048"/>
          <c:h val="0.85688919319867629"/>
        </c:manualLayout>
      </c:layout>
      <c:lineChart>
        <c:grouping val="standard"/>
        <c:varyColors val="0"/>
        <c:ser>
          <c:idx val="0"/>
          <c:order val="0"/>
          <c:tx>
            <c:strRef>
              <c:f>policy!$B$1</c:f>
              <c:strCache>
                <c:ptCount val="1"/>
                <c:pt idx="0">
                  <c:v>Επιτόκιο διευκόλυνσης αποδοχής καταθέσεων</c:v>
                </c:pt>
              </c:strCache>
            </c:strRef>
          </c:tx>
          <c:spPr>
            <a:ln w="28575" cap="rnd">
              <a:solidFill>
                <a:schemeClr val="accent1"/>
              </a:solidFill>
              <a:round/>
            </a:ln>
            <a:effectLst/>
          </c:spPr>
          <c:marker>
            <c:symbol val="none"/>
          </c:marker>
          <c:cat>
            <c:numRef>
              <c:f>policy!$A$2:$A$318</c:f>
              <c:numCache>
                <c:formatCode>yyyy\-mm\-dd</c:formatCode>
                <c:ptCount val="317"/>
                <c:pt idx="0">
                  <c:v>36556</c:v>
                </c:pt>
                <c:pt idx="1">
                  <c:v>36585</c:v>
                </c:pt>
                <c:pt idx="2">
                  <c:v>36616</c:v>
                </c:pt>
                <c:pt idx="3">
                  <c:v>36646</c:v>
                </c:pt>
                <c:pt idx="4">
                  <c:v>36677</c:v>
                </c:pt>
                <c:pt idx="5">
                  <c:v>36707</c:v>
                </c:pt>
                <c:pt idx="6">
                  <c:v>36738</c:v>
                </c:pt>
                <c:pt idx="7">
                  <c:v>36769</c:v>
                </c:pt>
                <c:pt idx="8">
                  <c:v>36799</c:v>
                </c:pt>
                <c:pt idx="9">
                  <c:v>36830</c:v>
                </c:pt>
                <c:pt idx="10">
                  <c:v>36860</c:v>
                </c:pt>
                <c:pt idx="11">
                  <c:v>36891</c:v>
                </c:pt>
                <c:pt idx="12">
                  <c:v>36922</c:v>
                </c:pt>
                <c:pt idx="13">
                  <c:v>36950</c:v>
                </c:pt>
                <c:pt idx="14">
                  <c:v>36981</c:v>
                </c:pt>
                <c:pt idx="15">
                  <c:v>37011</c:v>
                </c:pt>
                <c:pt idx="16">
                  <c:v>37042</c:v>
                </c:pt>
                <c:pt idx="17">
                  <c:v>37072</c:v>
                </c:pt>
                <c:pt idx="18">
                  <c:v>37103</c:v>
                </c:pt>
                <c:pt idx="19">
                  <c:v>37134</c:v>
                </c:pt>
                <c:pt idx="20">
                  <c:v>37164</c:v>
                </c:pt>
                <c:pt idx="21">
                  <c:v>37195</c:v>
                </c:pt>
                <c:pt idx="22">
                  <c:v>37225</c:v>
                </c:pt>
                <c:pt idx="23">
                  <c:v>37256</c:v>
                </c:pt>
                <c:pt idx="24">
                  <c:v>37287</c:v>
                </c:pt>
                <c:pt idx="25">
                  <c:v>37315</c:v>
                </c:pt>
                <c:pt idx="26">
                  <c:v>37346</c:v>
                </c:pt>
                <c:pt idx="27">
                  <c:v>37376</c:v>
                </c:pt>
                <c:pt idx="28">
                  <c:v>37407</c:v>
                </c:pt>
                <c:pt idx="29">
                  <c:v>37437</c:v>
                </c:pt>
                <c:pt idx="30">
                  <c:v>37468</c:v>
                </c:pt>
                <c:pt idx="31">
                  <c:v>37499</c:v>
                </c:pt>
                <c:pt idx="32">
                  <c:v>37529</c:v>
                </c:pt>
                <c:pt idx="33">
                  <c:v>37560</c:v>
                </c:pt>
                <c:pt idx="34">
                  <c:v>37590</c:v>
                </c:pt>
                <c:pt idx="35">
                  <c:v>37621</c:v>
                </c:pt>
                <c:pt idx="36">
                  <c:v>37652</c:v>
                </c:pt>
                <c:pt idx="37">
                  <c:v>37680</c:v>
                </c:pt>
                <c:pt idx="38">
                  <c:v>37711</c:v>
                </c:pt>
                <c:pt idx="39">
                  <c:v>37741</c:v>
                </c:pt>
                <c:pt idx="40">
                  <c:v>37772</c:v>
                </c:pt>
                <c:pt idx="41">
                  <c:v>37802</c:v>
                </c:pt>
                <c:pt idx="42">
                  <c:v>37833</c:v>
                </c:pt>
                <c:pt idx="43">
                  <c:v>37864</c:v>
                </c:pt>
                <c:pt idx="44">
                  <c:v>37894</c:v>
                </c:pt>
                <c:pt idx="45">
                  <c:v>37925</c:v>
                </c:pt>
                <c:pt idx="46">
                  <c:v>37955</c:v>
                </c:pt>
                <c:pt idx="47">
                  <c:v>37986</c:v>
                </c:pt>
                <c:pt idx="48">
                  <c:v>38017</c:v>
                </c:pt>
                <c:pt idx="49">
                  <c:v>38046</c:v>
                </c:pt>
                <c:pt idx="50">
                  <c:v>38077</c:v>
                </c:pt>
                <c:pt idx="51">
                  <c:v>38107</c:v>
                </c:pt>
                <c:pt idx="52">
                  <c:v>38138</c:v>
                </c:pt>
                <c:pt idx="53">
                  <c:v>38168</c:v>
                </c:pt>
                <c:pt idx="54">
                  <c:v>38199</c:v>
                </c:pt>
                <c:pt idx="55">
                  <c:v>38230</c:v>
                </c:pt>
                <c:pt idx="56">
                  <c:v>38260</c:v>
                </c:pt>
                <c:pt idx="57">
                  <c:v>38291</c:v>
                </c:pt>
                <c:pt idx="58">
                  <c:v>38321</c:v>
                </c:pt>
                <c:pt idx="59">
                  <c:v>38352</c:v>
                </c:pt>
                <c:pt idx="60">
                  <c:v>38383</c:v>
                </c:pt>
                <c:pt idx="61">
                  <c:v>38411</c:v>
                </c:pt>
                <c:pt idx="62">
                  <c:v>38442</c:v>
                </c:pt>
                <c:pt idx="63">
                  <c:v>38472</c:v>
                </c:pt>
                <c:pt idx="64">
                  <c:v>38503</c:v>
                </c:pt>
                <c:pt idx="65">
                  <c:v>38533</c:v>
                </c:pt>
                <c:pt idx="66">
                  <c:v>38564</c:v>
                </c:pt>
                <c:pt idx="67">
                  <c:v>38595</c:v>
                </c:pt>
                <c:pt idx="68">
                  <c:v>38625</c:v>
                </c:pt>
                <c:pt idx="69">
                  <c:v>38656</c:v>
                </c:pt>
                <c:pt idx="70">
                  <c:v>38686</c:v>
                </c:pt>
                <c:pt idx="71">
                  <c:v>38717</c:v>
                </c:pt>
                <c:pt idx="72">
                  <c:v>38748</c:v>
                </c:pt>
                <c:pt idx="73">
                  <c:v>38776</c:v>
                </c:pt>
                <c:pt idx="74">
                  <c:v>38807</c:v>
                </c:pt>
                <c:pt idx="75">
                  <c:v>38837</c:v>
                </c:pt>
                <c:pt idx="76">
                  <c:v>38868</c:v>
                </c:pt>
                <c:pt idx="77">
                  <c:v>38898</c:v>
                </c:pt>
                <c:pt idx="78">
                  <c:v>38929</c:v>
                </c:pt>
                <c:pt idx="79">
                  <c:v>38960</c:v>
                </c:pt>
                <c:pt idx="80">
                  <c:v>38990</c:v>
                </c:pt>
                <c:pt idx="81">
                  <c:v>39021</c:v>
                </c:pt>
                <c:pt idx="82">
                  <c:v>39051</c:v>
                </c:pt>
                <c:pt idx="83">
                  <c:v>39082</c:v>
                </c:pt>
                <c:pt idx="84">
                  <c:v>39113</c:v>
                </c:pt>
                <c:pt idx="85">
                  <c:v>39141</c:v>
                </c:pt>
                <c:pt idx="86">
                  <c:v>39172</c:v>
                </c:pt>
                <c:pt idx="87">
                  <c:v>39202</c:v>
                </c:pt>
                <c:pt idx="88">
                  <c:v>39233</c:v>
                </c:pt>
                <c:pt idx="89">
                  <c:v>39263</c:v>
                </c:pt>
                <c:pt idx="90">
                  <c:v>39294</c:v>
                </c:pt>
                <c:pt idx="91">
                  <c:v>39325</c:v>
                </c:pt>
                <c:pt idx="92">
                  <c:v>39355</c:v>
                </c:pt>
                <c:pt idx="93">
                  <c:v>39386</c:v>
                </c:pt>
                <c:pt idx="94">
                  <c:v>39416</c:v>
                </c:pt>
                <c:pt idx="95">
                  <c:v>39447</c:v>
                </c:pt>
                <c:pt idx="96">
                  <c:v>39478</c:v>
                </c:pt>
                <c:pt idx="97">
                  <c:v>39507</c:v>
                </c:pt>
                <c:pt idx="98">
                  <c:v>39538</c:v>
                </c:pt>
                <c:pt idx="99">
                  <c:v>39568</c:v>
                </c:pt>
                <c:pt idx="100">
                  <c:v>39599</c:v>
                </c:pt>
                <c:pt idx="101">
                  <c:v>39629</c:v>
                </c:pt>
                <c:pt idx="102">
                  <c:v>39660</c:v>
                </c:pt>
                <c:pt idx="103">
                  <c:v>39691</c:v>
                </c:pt>
                <c:pt idx="104">
                  <c:v>39721</c:v>
                </c:pt>
                <c:pt idx="105">
                  <c:v>39752</c:v>
                </c:pt>
                <c:pt idx="106">
                  <c:v>39782</c:v>
                </c:pt>
                <c:pt idx="107">
                  <c:v>39813</c:v>
                </c:pt>
                <c:pt idx="108">
                  <c:v>39844</c:v>
                </c:pt>
                <c:pt idx="109">
                  <c:v>39872</c:v>
                </c:pt>
                <c:pt idx="110">
                  <c:v>39903</c:v>
                </c:pt>
                <c:pt idx="111">
                  <c:v>39933</c:v>
                </c:pt>
                <c:pt idx="112">
                  <c:v>39964</c:v>
                </c:pt>
                <c:pt idx="113">
                  <c:v>39994</c:v>
                </c:pt>
                <c:pt idx="114">
                  <c:v>40025</c:v>
                </c:pt>
                <c:pt idx="115">
                  <c:v>40056</c:v>
                </c:pt>
                <c:pt idx="116">
                  <c:v>40086</c:v>
                </c:pt>
                <c:pt idx="117">
                  <c:v>40117</c:v>
                </c:pt>
                <c:pt idx="118">
                  <c:v>40147</c:v>
                </c:pt>
                <c:pt idx="119">
                  <c:v>40178</c:v>
                </c:pt>
                <c:pt idx="120">
                  <c:v>40209</c:v>
                </c:pt>
                <c:pt idx="121">
                  <c:v>40237</c:v>
                </c:pt>
                <c:pt idx="122">
                  <c:v>40268</c:v>
                </c:pt>
                <c:pt idx="123">
                  <c:v>40298</c:v>
                </c:pt>
                <c:pt idx="124">
                  <c:v>40329</c:v>
                </c:pt>
                <c:pt idx="125">
                  <c:v>40359</c:v>
                </c:pt>
                <c:pt idx="126">
                  <c:v>40390</c:v>
                </c:pt>
                <c:pt idx="127">
                  <c:v>40421</c:v>
                </c:pt>
                <c:pt idx="128">
                  <c:v>40451</c:v>
                </c:pt>
                <c:pt idx="129">
                  <c:v>40482</c:v>
                </c:pt>
                <c:pt idx="130">
                  <c:v>40512</c:v>
                </c:pt>
                <c:pt idx="131">
                  <c:v>40543</c:v>
                </c:pt>
                <c:pt idx="132">
                  <c:v>40574</c:v>
                </c:pt>
                <c:pt idx="133">
                  <c:v>40602</c:v>
                </c:pt>
                <c:pt idx="134">
                  <c:v>40633</c:v>
                </c:pt>
                <c:pt idx="135">
                  <c:v>40663</c:v>
                </c:pt>
                <c:pt idx="136">
                  <c:v>40694</c:v>
                </c:pt>
                <c:pt idx="137">
                  <c:v>40724</c:v>
                </c:pt>
                <c:pt idx="138">
                  <c:v>40755</c:v>
                </c:pt>
                <c:pt idx="139">
                  <c:v>40786</c:v>
                </c:pt>
                <c:pt idx="140">
                  <c:v>40816</c:v>
                </c:pt>
                <c:pt idx="141">
                  <c:v>40847</c:v>
                </c:pt>
                <c:pt idx="142">
                  <c:v>40877</c:v>
                </c:pt>
                <c:pt idx="143">
                  <c:v>40908</c:v>
                </c:pt>
                <c:pt idx="144">
                  <c:v>40939</c:v>
                </c:pt>
                <c:pt idx="145">
                  <c:v>40968</c:v>
                </c:pt>
                <c:pt idx="146">
                  <c:v>40999</c:v>
                </c:pt>
                <c:pt idx="147">
                  <c:v>41029</c:v>
                </c:pt>
                <c:pt idx="148">
                  <c:v>41060</c:v>
                </c:pt>
                <c:pt idx="149">
                  <c:v>41090</c:v>
                </c:pt>
                <c:pt idx="150">
                  <c:v>41121</c:v>
                </c:pt>
                <c:pt idx="151">
                  <c:v>41152</c:v>
                </c:pt>
                <c:pt idx="152">
                  <c:v>41182</c:v>
                </c:pt>
                <c:pt idx="153">
                  <c:v>41213</c:v>
                </c:pt>
                <c:pt idx="154">
                  <c:v>41243</c:v>
                </c:pt>
                <c:pt idx="155">
                  <c:v>41274</c:v>
                </c:pt>
                <c:pt idx="156">
                  <c:v>41305</c:v>
                </c:pt>
                <c:pt idx="157">
                  <c:v>41333</c:v>
                </c:pt>
                <c:pt idx="158">
                  <c:v>41364</c:v>
                </c:pt>
                <c:pt idx="159">
                  <c:v>41394</c:v>
                </c:pt>
                <c:pt idx="160">
                  <c:v>41425</c:v>
                </c:pt>
                <c:pt idx="161">
                  <c:v>41455</c:v>
                </c:pt>
                <c:pt idx="162">
                  <c:v>41486</c:v>
                </c:pt>
                <c:pt idx="163">
                  <c:v>41517</c:v>
                </c:pt>
                <c:pt idx="164">
                  <c:v>41547</c:v>
                </c:pt>
                <c:pt idx="165">
                  <c:v>41578</c:v>
                </c:pt>
                <c:pt idx="166">
                  <c:v>41608</c:v>
                </c:pt>
                <c:pt idx="167">
                  <c:v>41639</c:v>
                </c:pt>
                <c:pt idx="168">
                  <c:v>41670</c:v>
                </c:pt>
                <c:pt idx="169">
                  <c:v>41698</c:v>
                </c:pt>
                <c:pt idx="170">
                  <c:v>41729</c:v>
                </c:pt>
                <c:pt idx="171">
                  <c:v>41759</c:v>
                </c:pt>
                <c:pt idx="172">
                  <c:v>41790</c:v>
                </c:pt>
                <c:pt idx="173">
                  <c:v>41820</c:v>
                </c:pt>
                <c:pt idx="174">
                  <c:v>41851</c:v>
                </c:pt>
                <c:pt idx="175">
                  <c:v>41882</c:v>
                </c:pt>
                <c:pt idx="176">
                  <c:v>41912</c:v>
                </c:pt>
                <c:pt idx="177">
                  <c:v>41943</c:v>
                </c:pt>
                <c:pt idx="178">
                  <c:v>41973</c:v>
                </c:pt>
                <c:pt idx="179">
                  <c:v>42004</c:v>
                </c:pt>
                <c:pt idx="180">
                  <c:v>42035</c:v>
                </c:pt>
                <c:pt idx="181">
                  <c:v>42063</c:v>
                </c:pt>
                <c:pt idx="182">
                  <c:v>42094</c:v>
                </c:pt>
                <c:pt idx="183">
                  <c:v>42124</c:v>
                </c:pt>
                <c:pt idx="184">
                  <c:v>42155</c:v>
                </c:pt>
                <c:pt idx="185">
                  <c:v>42185</c:v>
                </c:pt>
                <c:pt idx="186">
                  <c:v>42216</c:v>
                </c:pt>
                <c:pt idx="187">
                  <c:v>42247</c:v>
                </c:pt>
                <c:pt idx="188">
                  <c:v>42277</c:v>
                </c:pt>
                <c:pt idx="189">
                  <c:v>42308</c:v>
                </c:pt>
                <c:pt idx="190">
                  <c:v>42338</c:v>
                </c:pt>
                <c:pt idx="191">
                  <c:v>42369</c:v>
                </c:pt>
                <c:pt idx="192">
                  <c:v>42400</c:v>
                </c:pt>
                <c:pt idx="193">
                  <c:v>42429</c:v>
                </c:pt>
                <c:pt idx="194">
                  <c:v>42460</c:v>
                </c:pt>
                <c:pt idx="195">
                  <c:v>42490</c:v>
                </c:pt>
                <c:pt idx="196">
                  <c:v>42521</c:v>
                </c:pt>
                <c:pt idx="197">
                  <c:v>42551</c:v>
                </c:pt>
                <c:pt idx="198">
                  <c:v>42582</c:v>
                </c:pt>
                <c:pt idx="199">
                  <c:v>42613</c:v>
                </c:pt>
                <c:pt idx="200">
                  <c:v>42643</c:v>
                </c:pt>
                <c:pt idx="201">
                  <c:v>42674</c:v>
                </c:pt>
                <c:pt idx="202">
                  <c:v>42704</c:v>
                </c:pt>
                <c:pt idx="203">
                  <c:v>42735</c:v>
                </c:pt>
                <c:pt idx="204">
                  <c:v>42766</c:v>
                </c:pt>
                <c:pt idx="205">
                  <c:v>42794</c:v>
                </c:pt>
                <c:pt idx="206">
                  <c:v>42825</c:v>
                </c:pt>
                <c:pt idx="207">
                  <c:v>42855</c:v>
                </c:pt>
                <c:pt idx="208">
                  <c:v>42886</c:v>
                </c:pt>
                <c:pt idx="209">
                  <c:v>42916</c:v>
                </c:pt>
                <c:pt idx="210">
                  <c:v>42947</c:v>
                </c:pt>
                <c:pt idx="211">
                  <c:v>42978</c:v>
                </c:pt>
                <c:pt idx="212">
                  <c:v>43008</c:v>
                </c:pt>
                <c:pt idx="213">
                  <c:v>43039</c:v>
                </c:pt>
                <c:pt idx="214">
                  <c:v>43069</c:v>
                </c:pt>
                <c:pt idx="215">
                  <c:v>43100</c:v>
                </c:pt>
                <c:pt idx="216">
                  <c:v>43131</c:v>
                </c:pt>
                <c:pt idx="217">
                  <c:v>43159</c:v>
                </c:pt>
                <c:pt idx="218">
                  <c:v>43190</c:v>
                </c:pt>
                <c:pt idx="219">
                  <c:v>43220</c:v>
                </c:pt>
                <c:pt idx="220">
                  <c:v>43251</c:v>
                </c:pt>
                <c:pt idx="221">
                  <c:v>43281</c:v>
                </c:pt>
                <c:pt idx="222">
                  <c:v>43312</c:v>
                </c:pt>
                <c:pt idx="223">
                  <c:v>43343</c:v>
                </c:pt>
                <c:pt idx="224">
                  <c:v>43373</c:v>
                </c:pt>
                <c:pt idx="225">
                  <c:v>43404</c:v>
                </c:pt>
                <c:pt idx="226">
                  <c:v>43434</c:v>
                </c:pt>
                <c:pt idx="227">
                  <c:v>43465</c:v>
                </c:pt>
                <c:pt idx="228">
                  <c:v>43496</c:v>
                </c:pt>
                <c:pt idx="229">
                  <c:v>43524</c:v>
                </c:pt>
                <c:pt idx="230">
                  <c:v>43555</c:v>
                </c:pt>
                <c:pt idx="231">
                  <c:v>43585</c:v>
                </c:pt>
                <c:pt idx="232">
                  <c:v>43616</c:v>
                </c:pt>
                <c:pt idx="233">
                  <c:v>43646</c:v>
                </c:pt>
                <c:pt idx="234">
                  <c:v>43677</c:v>
                </c:pt>
                <c:pt idx="235">
                  <c:v>43708</c:v>
                </c:pt>
                <c:pt idx="236">
                  <c:v>43738</c:v>
                </c:pt>
                <c:pt idx="237">
                  <c:v>43769</c:v>
                </c:pt>
                <c:pt idx="238">
                  <c:v>43799</c:v>
                </c:pt>
                <c:pt idx="239">
                  <c:v>43830</c:v>
                </c:pt>
                <c:pt idx="240">
                  <c:v>43861</c:v>
                </c:pt>
                <c:pt idx="241">
                  <c:v>43890</c:v>
                </c:pt>
                <c:pt idx="242">
                  <c:v>43921</c:v>
                </c:pt>
                <c:pt idx="243">
                  <c:v>43951</c:v>
                </c:pt>
                <c:pt idx="244">
                  <c:v>43982</c:v>
                </c:pt>
                <c:pt idx="245">
                  <c:v>44012</c:v>
                </c:pt>
                <c:pt idx="246">
                  <c:v>44043</c:v>
                </c:pt>
                <c:pt idx="247">
                  <c:v>44074</c:v>
                </c:pt>
                <c:pt idx="248">
                  <c:v>44104</c:v>
                </c:pt>
                <c:pt idx="249">
                  <c:v>44135</c:v>
                </c:pt>
                <c:pt idx="250">
                  <c:v>44165</c:v>
                </c:pt>
                <c:pt idx="251">
                  <c:v>44196</c:v>
                </c:pt>
                <c:pt idx="252">
                  <c:v>44227</c:v>
                </c:pt>
                <c:pt idx="253">
                  <c:v>44255</c:v>
                </c:pt>
                <c:pt idx="254">
                  <c:v>44286</c:v>
                </c:pt>
                <c:pt idx="255">
                  <c:v>44316</c:v>
                </c:pt>
                <c:pt idx="256">
                  <c:v>44347</c:v>
                </c:pt>
                <c:pt idx="257">
                  <c:v>44377</c:v>
                </c:pt>
                <c:pt idx="258">
                  <c:v>44408</c:v>
                </c:pt>
                <c:pt idx="259">
                  <c:v>44439</c:v>
                </c:pt>
                <c:pt idx="260">
                  <c:v>44469</c:v>
                </c:pt>
                <c:pt idx="261">
                  <c:v>44500</c:v>
                </c:pt>
                <c:pt idx="262">
                  <c:v>44530</c:v>
                </c:pt>
                <c:pt idx="263">
                  <c:v>44561</c:v>
                </c:pt>
                <c:pt idx="264">
                  <c:v>44592</c:v>
                </c:pt>
                <c:pt idx="265">
                  <c:v>44620</c:v>
                </c:pt>
                <c:pt idx="266">
                  <c:v>44651</c:v>
                </c:pt>
                <c:pt idx="267">
                  <c:v>44681</c:v>
                </c:pt>
                <c:pt idx="268">
                  <c:v>44712</c:v>
                </c:pt>
                <c:pt idx="269">
                  <c:v>44742</c:v>
                </c:pt>
                <c:pt idx="270">
                  <c:v>44773</c:v>
                </c:pt>
                <c:pt idx="271">
                  <c:v>44804</c:v>
                </c:pt>
                <c:pt idx="272">
                  <c:v>44834</c:v>
                </c:pt>
                <c:pt idx="273">
                  <c:v>44865</c:v>
                </c:pt>
                <c:pt idx="274">
                  <c:v>44895</c:v>
                </c:pt>
                <c:pt idx="275">
                  <c:v>44926</c:v>
                </c:pt>
                <c:pt idx="276">
                  <c:v>44957</c:v>
                </c:pt>
                <c:pt idx="277">
                  <c:v>44985</c:v>
                </c:pt>
                <c:pt idx="278">
                  <c:v>45016</c:v>
                </c:pt>
                <c:pt idx="279">
                  <c:v>45046</c:v>
                </c:pt>
                <c:pt idx="280">
                  <c:v>45077</c:v>
                </c:pt>
                <c:pt idx="281">
                  <c:v>45107</c:v>
                </c:pt>
                <c:pt idx="282">
                  <c:v>45138</c:v>
                </c:pt>
                <c:pt idx="283">
                  <c:v>45169</c:v>
                </c:pt>
                <c:pt idx="284">
                  <c:v>45199</c:v>
                </c:pt>
                <c:pt idx="285">
                  <c:v>45230</c:v>
                </c:pt>
                <c:pt idx="286">
                  <c:v>45260</c:v>
                </c:pt>
                <c:pt idx="287">
                  <c:v>45291</c:v>
                </c:pt>
                <c:pt idx="288">
                  <c:v>45322</c:v>
                </c:pt>
                <c:pt idx="289">
                  <c:v>45351</c:v>
                </c:pt>
                <c:pt idx="290">
                  <c:v>45382</c:v>
                </c:pt>
                <c:pt idx="291">
                  <c:v>45412</c:v>
                </c:pt>
                <c:pt idx="292">
                  <c:v>45443</c:v>
                </c:pt>
                <c:pt idx="293">
                  <c:v>45473</c:v>
                </c:pt>
                <c:pt idx="294">
                  <c:v>45504</c:v>
                </c:pt>
                <c:pt idx="295">
                  <c:v>45535</c:v>
                </c:pt>
                <c:pt idx="296">
                  <c:v>45565</c:v>
                </c:pt>
                <c:pt idx="297">
                  <c:v>45596</c:v>
                </c:pt>
                <c:pt idx="298">
                  <c:v>45626</c:v>
                </c:pt>
                <c:pt idx="299">
                  <c:v>45657</c:v>
                </c:pt>
                <c:pt idx="300">
                  <c:v>45688</c:v>
                </c:pt>
                <c:pt idx="301">
                  <c:v>45716</c:v>
                </c:pt>
                <c:pt idx="302">
                  <c:v>45747</c:v>
                </c:pt>
                <c:pt idx="303">
                  <c:v>45777</c:v>
                </c:pt>
                <c:pt idx="304">
                  <c:v>45808</c:v>
                </c:pt>
                <c:pt idx="305">
                  <c:v>45838</c:v>
                </c:pt>
                <c:pt idx="306">
                  <c:v>45869</c:v>
                </c:pt>
                <c:pt idx="307">
                  <c:v>45900</c:v>
                </c:pt>
                <c:pt idx="308">
                  <c:v>45930</c:v>
                </c:pt>
                <c:pt idx="309">
                  <c:v>45961</c:v>
                </c:pt>
                <c:pt idx="310">
                  <c:v>45991</c:v>
                </c:pt>
                <c:pt idx="311">
                  <c:v>46022</c:v>
                </c:pt>
                <c:pt idx="312">
                  <c:v>46053</c:v>
                </c:pt>
                <c:pt idx="313">
                  <c:v>46081</c:v>
                </c:pt>
                <c:pt idx="314">
                  <c:v>46112</c:v>
                </c:pt>
                <c:pt idx="315">
                  <c:v>46142</c:v>
                </c:pt>
                <c:pt idx="316">
                  <c:v>46173</c:v>
                </c:pt>
              </c:numCache>
            </c:numRef>
          </c:cat>
          <c:val>
            <c:numRef>
              <c:f>policy!$B$2:$B$318</c:f>
              <c:numCache>
                <c:formatCode>0.00</c:formatCode>
                <c:ptCount val="317"/>
                <c:pt idx="0">
                  <c:v>2</c:v>
                </c:pt>
                <c:pt idx="1">
                  <c:v>2.25</c:v>
                </c:pt>
                <c:pt idx="2">
                  <c:v>2.5</c:v>
                </c:pt>
                <c:pt idx="3">
                  <c:v>2.75</c:v>
                </c:pt>
                <c:pt idx="4">
                  <c:v>2.75</c:v>
                </c:pt>
                <c:pt idx="5">
                  <c:v>3.25</c:v>
                </c:pt>
                <c:pt idx="6">
                  <c:v>3.25</c:v>
                </c:pt>
                <c:pt idx="7">
                  <c:v>3.25</c:v>
                </c:pt>
                <c:pt idx="8">
                  <c:v>3.5</c:v>
                </c:pt>
                <c:pt idx="9">
                  <c:v>3.75</c:v>
                </c:pt>
                <c:pt idx="10">
                  <c:v>3.75</c:v>
                </c:pt>
                <c:pt idx="11">
                  <c:v>3.75</c:v>
                </c:pt>
                <c:pt idx="12">
                  <c:v>3.75</c:v>
                </c:pt>
                <c:pt idx="13">
                  <c:v>3.75</c:v>
                </c:pt>
                <c:pt idx="14">
                  <c:v>3.75</c:v>
                </c:pt>
                <c:pt idx="15">
                  <c:v>3.75</c:v>
                </c:pt>
                <c:pt idx="16">
                  <c:v>3.5</c:v>
                </c:pt>
                <c:pt idx="17">
                  <c:v>3.5</c:v>
                </c:pt>
                <c:pt idx="18">
                  <c:v>3.5</c:v>
                </c:pt>
                <c:pt idx="19">
                  <c:v>3.25</c:v>
                </c:pt>
                <c:pt idx="20">
                  <c:v>2.75</c:v>
                </c:pt>
                <c:pt idx="21">
                  <c:v>2.75</c:v>
                </c:pt>
                <c:pt idx="22">
                  <c:v>2.25</c:v>
                </c:pt>
                <c:pt idx="23">
                  <c:v>2.25</c:v>
                </c:pt>
                <c:pt idx="24">
                  <c:v>2.25</c:v>
                </c:pt>
                <c:pt idx="25">
                  <c:v>2.25</c:v>
                </c:pt>
                <c:pt idx="26">
                  <c:v>2.25</c:v>
                </c:pt>
                <c:pt idx="27">
                  <c:v>2.25</c:v>
                </c:pt>
                <c:pt idx="28">
                  <c:v>2.25</c:v>
                </c:pt>
                <c:pt idx="29">
                  <c:v>2.25</c:v>
                </c:pt>
                <c:pt idx="30">
                  <c:v>2.25</c:v>
                </c:pt>
                <c:pt idx="31">
                  <c:v>2.25</c:v>
                </c:pt>
                <c:pt idx="32">
                  <c:v>2.25</c:v>
                </c:pt>
                <c:pt idx="33">
                  <c:v>2.25</c:v>
                </c:pt>
                <c:pt idx="34">
                  <c:v>2.25</c:v>
                </c:pt>
                <c:pt idx="35">
                  <c:v>1.75</c:v>
                </c:pt>
                <c:pt idx="36">
                  <c:v>1.75</c:v>
                </c:pt>
                <c:pt idx="37">
                  <c:v>1.75</c:v>
                </c:pt>
                <c:pt idx="38">
                  <c:v>1.5</c:v>
                </c:pt>
                <c:pt idx="39">
                  <c:v>1.5</c:v>
                </c:pt>
                <c:pt idx="40">
                  <c:v>1.5</c:v>
                </c:pt>
                <c:pt idx="41">
                  <c:v>1</c:v>
                </c:pt>
                <c:pt idx="42">
                  <c:v>1</c:v>
                </c:pt>
                <c:pt idx="43">
                  <c:v>1</c:v>
                </c:pt>
                <c:pt idx="44">
                  <c:v>1</c:v>
                </c:pt>
                <c:pt idx="45">
                  <c:v>1</c:v>
                </c:pt>
                <c:pt idx="46">
                  <c:v>1</c:v>
                </c:pt>
                <c:pt idx="47">
                  <c:v>1</c:v>
                </c:pt>
                <c:pt idx="48">
                  <c:v>1</c:v>
                </c:pt>
                <c:pt idx="49">
                  <c:v>1</c:v>
                </c:pt>
                <c:pt idx="50">
                  <c:v>1</c:v>
                </c:pt>
                <c:pt idx="51">
                  <c:v>1</c:v>
                </c:pt>
                <c:pt idx="52">
                  <c:v>1</c:v>
                </c:pt>
                <c:pt idx="53">
                  <c:v>1</c:v>
                </c:pt>
                <c:pt idx="54">
                  <c:v>1</c:v>
                </c:pt>
                <c:pt idx="55">
                  <c:v>1</c:v>
                </c:pt>
                <c:pt idx="56">
                  <c:v>1</c:v>
                </c:pt>
                <c:pt idx="57">
                  <c:v>1</c:v>
                </c:pt>
                <c:pt idx="58">
                  <c:v>1</c:v>
                </c:pt>
                <c:pt idx="59">
                  <c:v>1</c:v>
                </c:pt>
                <c:pt idx="60">
                  <c:v>1</c:v>
                </c:pt>
                <c:pt idx="61">
                  <c:v>1</c:v>
                </c:pt>
                <c:pt idx="62">
                  <c:v>1</c:v>
                </c:pt>
                <c:pt idx="63">
                  <c:v>1</c:v>
                </c:pt>
                <c:pt idx="64">
                  <c:v>1</c:v>
                </c:pt>
                <c:pt idx="65">
                  <c:v>1</c:v>
                </c:pt>
                <c:pt idx="66">
                  <c:v>1</c:v>
                </c:pt>
                <c:pt idx="67">
                  <c:v>1</c:v>
                </c:pt>
                <c:pt idx="68">
                  <c:v>1</c:v>
                </c:pt>
                <c:pt idx="69">
                  <c:v>1</c:v>
                </c:pt>
                <c:pt idx="70">
                  <c:v>1</c:v>
                </c:pt>
                <c:pt idx="71">
                  <c:v>1.25</c:v>
                </c:pt>
                <c:pt idx="72">
                  <c:v>1.25</c:v>
                </c:pt>
                <c:pt idx="73">
                  <c:v>1.25</c:v>
                </c:pt>
                <c:pt idx="74">
                  <c:v>1.5</c:v>
                </c:pt>
                <c:pt idx="75">
                  <c:v>1.5</c:v>
                </c:pt>
                <c:pt idx="76">
                  <c:v>1.5</c:v>
                </c:pt>
                <c:pt idx="77">
                  <c:v>1.75</c:v>
                </c:pt>
                <c:pt idx="78">
                  <c:v>1.75</c:v>
                </c:pt>
                <c:pt idx="79">
                  <c:v>2</c:v>
                </c:pt>
                <c:pt idx="80">
                  <c:v>2</c:v>
                </c:pt>
                <c:pt idx="81">
                  <c:v>2.25</c:v>
                </c:pt>
                <c:pt idx="82">
                  <c:v>2.25</c:v>
                </c:pt>
                <c:pt idx="83">
                  <c:v>2.5</c:v>
                </c:pt>
                <c:pt idx="84">
                  <c:v>2.5</c:v>
                </c:pt>
                <c:pt idx="85">
                  <c:v>2.5</c:v>
                </c:pt>
                <c:pt idx="86">
                  <c:v>2.75</c:v>
                </c:pt>
                <c:pt idx="87">
                  <c:v>2.75</c:v>
                </c:pt>
                <c:pt idx="88">
                  <c:v>2.75</c:v>
                </c:pt>
                <c:pt idx="89">
                  <c:v>3</c:v>
                </c:pt>
                <c:pt idx="90">
                  <c:v>3</c:v>
                </c:pt>
                <c:pt idx="91">
                  <c:v>3</c:v>
                </c:pt>
                <c:pt idx="92">
                  <c:v>3</c:v>
                </c:pt>
                <c:pt idx="93">
                  <c:v>3</c:v>
                </c:pt>
                <c:pt idx="94">
                  <c:v>3</c:v>
                </c:pt>
                <c:pt idx="95">
                  <c:v>3</c:v>
                </c:pt>
                <c:pt idx="96">
                  <c:v>3</c:v>
                </c:pt>
                <c:pt idx="97">
                  <c:v>3</c:v>
                </c:pt>
                <c:pt idx="98">
                  <c:v>3</c:v>
                </c:pt>
                <c:pt idx="99">
                  <c:v>3</c:v>
                </c:pt>
                <c:pt idx="100">
                  <c:v>3</c:v>
                </c:pt>
                <c:pt idx="101">
                  <c:v>3</c:v>
                </c:pt>
                <c:pt idx="102">
                  <c:v>3.25</c:v>
                </c:pt>
                <c:pt idx="103">
                  <c:v>3.25</c:v>
                </c:pt>
                <c:pt idx="104">
                  <c:v>3.25</c:v>
                </c:pt>
                <c:pt idx="105">
                  <c:v>3.25</c:v>
                </c:pt>
                <c:pt idx="106">
                  <c:v>2.75</c:v>
                </c:pt>
                <c:pt idx="107">
                  <c:v>2</c:v>
                </c:pt>
                <c:pt idx="108">
                  <c:v>1</c:v>
                </c:pt>
                <c:pt idx="109">
                  <c:v>1</c:v>
                </c:pt>
                <c:pt idx="110">
                  <c:v>0.5</c:v>
                </c:pt>
                <c:pt idx="111">
                  <c:v>0.25</c:v>
                </c:pt>
                <c:pt idx="112">
                  <c:v>0.25</c:v>
                </c:pt>
                <c:pt idx="113">
                  <c:v>0.25</c:v>
                </c:pt>
                <c:pt idx="114">
                  <c:v>0.25</c:v>
                </c:pt>
                <c:pt idx="115">
                  <c:v>0.25</c:v>
                </c:pt>
                <c:pt idx="116">
                  <c:v>0.25</c:v>
                </c:pt>
                <c:pt idx="117">
                  <c:v>0.25</c:v>
                </c:pt>
                <c:pt idx="118">
                  <c:v>0.25</c:v>
                </c:pt>
                <c:pt idx="119">
                  <c:v>0.25</c:v>
                </c:pt>
                <c:pt idx="120">
                  <c:v>0.25</c:v>
                </c:pt>
                <c:pt idx="121">
                  <c:v>0.25</c:v>
                </c:pt>
                <c:pt idx="122">
                  <c:v>0.25</c:v>
                </c:pt>
                <c:pt idx="123">
                  <c:v>0.25</c:v>
                </c:pt>
                <c:pt idx="124">
                  <c:v>0.25</c:v>
                </c:pt>
                <c:pt idx="125">
                  <c:v>0.25</c:v>
                </c:pt>
                <c:pt idx="126">
                  <c:v>0.25</c:v>
                </c:pt>
                <c:pt idx="127">
                  <c:v>0.25</c:v>
                </c:pt>
                <c:pt idx="128">
                  <c:v>0.25</c:v>
                </c:pt>
                <c:pt idx="129">
                  <c:v>0.25</c:v>
                </c:pt>
                <c:pt idx="130">
                  <c:v>0.25</c:v>
                </c:pt>
                <c:pt idx="131">
                  <c:v>0.25</c:v>
                </c:pt>
                <c:pt idx="132">
                  <c:v>0.25</c:v>
                </c:pt>
                <c:pt idx="133">
                  <c:v>0.25</c:v>
                </c:pt>
                <c:pt idx="134">
                  <c:v>0.25</c:v>
                </c:pt>
                <c:pt idx="135">
                  <c:v>0.5</c:v>
                </c:pt>
                <c:pt idx="136">
                  <c:v>0.5</c:v>
                </c:pt>
                <c:pt idx="137">
                  <c:v>0.5</c:v>
                </c:pt>
                <c:pt idx="138">
                  <c:v>0.75</c:v>
                </c:pt>
                <c:pt idx="139">
                  <c:v>0.75</c:v>
                </c:pt>
                <c:pt idx="140">
                  <c:v>0.75</c:v>
                </c:pt>
                <c:pt idx="141">
                  <c:v>0.75</c:v>
                </c:pt>
                <c:pt idx="142">
                  <c:v>0.5</c:v>
                </c:pt>
                <c:pt idx="143">
                  <c:v>0.25</c:v>
                </c:pt>
                <c:pt idx="144">
                  <c:v>0.25</c:v>
                </c:pt>
                <c:pt idx="145">
                  <c:v>0.25</c:v>
                </c:pt>
                <c:pt idx="146">
                  <c:v>0.25</c:v>
                </c:pt>
                <c:pt idx="147">
                  <c:v>0.25</c:v>
                </c:pt>
                <c:pt idx="148">
                  <c:v>0.25</c:v>
                </c:pt>
                <c:pt idx="149">
                  <c:v>0.25</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-0.1</c:v>
                </c:pt>
                <c:pt idx="174">
                  <c:v>-0.1</c:v>
                </c:pt>
                <c:pt idx="175">
                  <c:v>-0.1</c:v>
                </c:pt>
                <c:pt idx="176">
                  <c:v>-0.2</c:v>
                </c:pt>
                <c:pt idx="177">
                  <c:v>-0.2</c:v>
                </c:pt>
                <c:pt idx="178">
                  <c:v>-0.2</c:v>
                </c:pt>
                <c:pt idx="179">
                  <c:v>-0.2</c:v>
                </c:pt>
                <c:pt idx="180">
                  <c:v>-0.2</c:v>
                </c:pt>
                <c:pt idx="181">
                  <c:v>-0.2</c:v>
                </c:pt>
                <c:pt idx="182">
                  <c:v>-0.2</c:v>
                </c:pt>
                <c:pt idx="183">
                  <c:v>-0.2</c:v>
                </c:pt>
                <c:pt idx="184">
                  <c:v>-0.2</c:v>
                </c:pt>
                <c:pt idx="185">
                  <c:v>-0.2</c:v>
                </c:pt>
                <c:pt idx="186">
                  <c:v>-0.2</c:v>
                </c:pt>
                <c:pt idx="187">
                  <c:v>-0.2</c:v>
                </c:pt>
                <c:pt idx="188">
                  <c:v>-0.2</c:v>
                </c:pt>
                <c:pt idx="189">
                  <c:v>-0.2</c:v>
                </c:pt>
                <c:pt idx="190">
                  <c:v>-0.2</c:v>
                </c:pt>
                <c:pt idx="191">
                  <c:v>-0.3</c:v>
                </c:pt>
                <c:pt idx="192">
                  <c:v>-0.3</c:v>
                </c:pt>
                <c:pt idx="193">
                  <c:v>-0.3</c:v>
                </c:pt>
                <c:pt idx="194">
                  <c:v>-0.4</c:v>
                </c:pt>
                <c:pt idx="195">
                  <c:v>-0.4</c:v>
                </c:pt>
                <c:pt idx="196">
                  <c:v>-0.4</c:v>
                </c:pt>
                <c:pt idx="197">
                  <c:v>-0.4</c:v>
                </c:pt>
                <c:pt idx="198">
                  <c:v>-0.4</c:v>
                </c:pt>
                <c:pt idx="199">
                  <c:v>-0.4</c:v>
                </c:pt>
                <c:pt idx="200">
                  <c:v>-0.4</c:v>
                </c:pt>
                <c:pt idx="201">
                  <c:v>-0.4</c:v>
                </c:pt>
                <c:pt idx="202">
                  <c:v>-0.4</c:v>
                </c:pt>
                <c:pt idx="203">
                  <c:v>-0.4</c:v>
                </c:pt>
                <c:pt idx="204">
                  <c:v>-0.4</c:v>
                </c:pt>
                <c:pt idx="205">
                  <c:v>-0.4</c:v>
                </c:pt>
                <c:pt idx="206">
                  <c:v>-0.4</c:v>
                </c:pt>
                <c:pt idx="207">
                  <c:v>-0.4</c:v>
                </c:pt>
                <c:pt idx="208">
                  <c:v>-0.4</c:v>
                </c:pt>
                <c:pt idx="209">
                  <c:v>-0.4</c:v>
                </c:pt>
                <c:pt idx="210">
                  <c:v>-0.4</c:v>
                </c:pt>
                <c:pt idx="211">
                  <c:v>-0.4</c:v>
                </c:pt>
                <c:pt idx="212">
                  <c:v>-0.4</c:v>
                </c:pt>
                <c:pt idx="213">
                  <c:v>-0.4</c:v>
                </c:pt>
                <c:pt idx="214">
                  <c:v>-0.4</c:v>
                </c:pt>
                <c:pt idx="215">
                  <c:v>-0.4</c:v>
                </c:pt>
                <c:pt idx="216">
                  <c:v>-0.4</c:v>
                </c:pt>
                <c:pt idx="217">
                  <c:v>-0.4</c:v>
                </c:pt>
                <c:pt idx="218">
                  <c:v>-0.4</c:v>
                </c:pt>
                <c:pt idx="219">
                  <c:v>-0.4</c:v>
                </c:pt>
                <c:pt idx="220">
                  <c:v>-0.4</c:v>
                </c:pt>
                <c:pt idx="221">
                  <c:v>-0.4</c:v>
                </c:pt>
                <c:pt idx="222">
                  <c:v>-0.4</c:v>
                </c:pt>
                <c:pt idx="223">
                  <c:v>-0.4</c:v>
                </c:pt>
                <c:pt idx="224">
                  <c:v>-0.4</c:v>
                </c:pt>
                <c:pt idx="225">
                  <c:v>-0.4</c:v>
                </c:pt>
                <c:pt idx="226">
                  <c:v>-0.4</c:v>
                </c:pt>
                <c:pt idx="227">
                  <c:v>-0.4</c:v>
                </c:pt>
                <c:pt idx="228">
                  <c:v>-0.4</c:v>
                </c:pt>
                <c:pt idx="229">
                  <c:v>-0.4</c:v>
                </c:pt>
                <c:pt idx="230">
                  <c:v>-0.4</c:v>
                </c:pt>
                <c:pt idx="231">
                  <c:v>-0.4</c:v>
                </c:pt>
                <c:pt idx="232">
                  <c:v>-0.4</c:v>
                </c:pt>
                <c:pt idx="233">
                  <c:v>-0.4</c:v>
                </c:pt>
                <c:pt idx="234">
                  <c:v>-0.4</c:v>
                </c:pt>
                <c:pt idx="235">
                  <c:v>-0.4</c:v>
                </c:pt>
                <c:pt idx="236">
                  <c:v>-0.5</c:v>
                </c:pt>
                <c:pt idx="237">
                  <c:v>-0.5</c:v>
                </c:pt>
                <c:pt idx="238">
                  <c:v>-0.5</c:v>
                </c:pt>
                <c:pt idx="239">
                  <c:v>-0.5</c:v>
                </c:pt>
                <c:pt idx="240">
                  <c:v>-0.5</c:v>
                </c:pt>
                <c:pt idx="241">
                  <c:v>-0.5</c:v>
                </c:pt>
                <c:pt idx="242">
                  <c:v>-0.5</c:v>
                </c:pt>
                <c:pt idx="243">
                  <c:v>-0.5</c:v>
                </c:pt>
                <c:pt idx="244">
                  <c:v>-0.5</c:v>
                </c:pt>
                <c:pt idx="245">
                  <c:v>-0.5</c:v>
                </c:pt>
                <c:pt idx="246">
                  <c:v>-0.5</c:v>
                </c:pt>
                <c:pt idx="247">
                  <c:v>-0.5</c:v>
                </c:pt>
                <c:pt idx="248">
                  <c:v>-0.5</c:v>
                </c:pt>
                <c:pt idx="249">
                  <c:v>-0.5</c:v>
                </c:pt>
                <c:pt idx="250">
                  <c:v>-0.5</c:v>
                </c:pt>
                <c:pt idx="251">
                  <c:v>-0.5</c:v>
                </c:pt>
                <c:pt idx="252">
                  <c:v>-0.5</c:v>
                </c:pt>
                <c:pt idx="253">
                  <c:v>-0.5</c:v>
                </c:pt>
                <c:pt idx="254">
                  <c:v>-0.5</c:v>
                </c:pt>
                <c:pt idx="255">
                  <c:v>-0.5</c:v>
                </c:pt>
                <c:pt idx="256">
                  <c:v>-0.5</c:v>
                </c:pt>
                <c:pt idx="257">
                  <c:v>-0.5</c:v>
                </c:pt>
                <c:pt idx="258">
                  <c:v>-0.5</c:v>
                </c:pt>
                <c:pt idx="259">
                  <c:v>-0.5</c:v>
                </c:pt>
                <c:pt idx="260">
                  <c:v>-0.5</c:v>
                </c:pt>
                <c:pt idx="261">
                  <c:v>-0.5</c:v>
                </c:pt>
                <c:pt idx="262">
                  <c:v>-0.5</c:v>
                </c:pt>
                <c:pt idx="263">
                  <c:v>-0.5</c:v>
                </c:pt>
                <c:pt idx="264">
                  <c:v>-0.5</c:v>
                </c:pt>
                <c:pt idx="265">
                  <c:v>-0.5</c:v>
                </c:pt>
                <c:pt idx="266">
                  <c:v>-0.5</c:v>
                </c:pt>
                <c:pt idx="267">
                  <c:v>-0.5</c:v>
                </c:pt>
                <c:pt idx="268">
                  <c:v>-0.5</c:v>
                </c:pt>
                <c:pt idx="269">
                  <c:v>-0.5</c:v>
                </c:pt>
                <c:pt idx="270">
                  <c:v>0</c:v>
                </c:pt>
                <c:pt idx="271">
                  <c:v>0</c:v>
                </c:pt>
                <c:pt idx="272">
                  <c:v>0.75</c:v>
                </c:pt>
                <c:pt idx="273">
                  <c:v>0.75</c:v>
                </c:pt>
                <c:pt idx="274">
                  <c:v>1.5</c:v>
                </c:pt>
                <c:pt idx="275">
                  <c:v>2</c:v>
                </c:pt>
                <c:pt idx="276">
                  <c:v>2</c:v>
                </c:pt>
                <c:pt idx="277">
                  <c:v>2.5</c:v>
                </c:pt>
                <c:pt idx="278">
                  <c:v>3</c:v>
                </c:pt>
                <c:pt idx="279">
                  <c:v>3</c:v>
                </c:pt>
                <c:pt idx="280">
                  <c:v>3.25</c:v>
                </c:pt>
                <c:pt idx="281">
                  <c:v>3.5</c:v>
                </c:pt>
                <c:pt idx="282">
                  <c:v>3.5</c:v>
                </c:pt>
                <c:pt idx="283">
                  <c:v>3.75</c:v>
                </c:pt>
                <c:pt idx="284">
                  <c:v>4</c:v>
                </c:pt>
                <c:pt idx="285">
                  <c:v>4</c:v>
                </c:pt>
                <c:pt idx="286">
                  <c:v>4</c:v>
                </c:pt>
                <c:pt idx="287">
                  <c:v>4</c:v>
                </c:pt>
                <c:pt idx="288">
                  <c:v>4</c:v>
                </c:pt>
                <c:pt idx="289">
                  <c:v>4</c:v>
                </c:pt>
                <c:pt idx="290">
                  <c:v>4</c:v>
                </c:pt>
                <c:pt idx="291">
                  <c:v>4</c:v>
                </c:pt>
                <c:pt idx="292">
                  <c:v>4</c:v>
                </c:pt>
                <c:pt idx="293">
                  <c:v>3.75</c:v>
                </c:pt>
                <c:pt idx="294">
                  <c:v>3.75</c:v>
                </c:pt>
                <c:pt idx="295">
                  <c:v>3.75</c:v>
                </c:pt>
                <c:pt idx="296">
                  <c:v>3.5</c:v>
                </c:pt>
                <c:pt idx="297">
                  <c:v>3.25</c:v>
                </c:pt>
                <c:pt idx="298">
                  <c:v>3.25</c:v>
                </c:pt>
                <c:pt idx="299">
                  <c:v>3</c:v>
                </c:pt>
                <c:pt idx="300">
                  <c:v>3</c:v>
                </c:pt>
                <c:pt idx="301">
                  <c:v>2.75</c:v>
                </c:pt>
                <c:pt idx="302">
                  <c:v>2.5</c:v>
                </c:pt>
                <c:pt idx="303">
                  <c:v>2.25</c:v>
                </c:pt>
                <c:pt idx="304">
                  <c:v>2.25</c:v>
                </c:pt>
                <c:pt idx="305">
                  <c:v>2</c:v>
                </c:pt>
                <c:pt idx="306">
                  <c:v>2</c:v>
                </c:pt>
                <c:pt idx="307">
                  <c:v>2</c:v>
                </c:pt>
                <c:pt idx="308">
                  <c:v>2</c:v>
                </c:pt>
                <c:pt idx="309">
                  <c:v>2</c:v>
                </c:pt>
                <c:pt idx="310">
                  <c:v>2</c:v>
                </c:pt>
                <c:pt idx="311">
                  <c:v>2</c:v>
                </c:pt>
                <c:pt idx="312">
                  <c:v>2</c:v>
                </c:pt>
                <c:pt idx="313">
                  <c:v>2</c:v>
                </c:pt>
                <c:pt idx="314">
                  <c:v>2</c:v>
                </c:pt>
                <c:pt idx="315">
                  <c:v>2</c:v>
                </c:pt>
                <c:pt idx="316">
                  <c:v>2</c:v>
                </c:pt>
              </c:numCache>
            </c:numRef>
          </c:val>
          <c:smooth val="0"/>
          <c:extLst>
            <c:ext xmlns:c16="http://schemas.microsoft.com/office/drawing/2014/chart" uri="{C3380CC4-5D6E-409C-BE32-E72D297353CC}">
              <c16:uniqueId val="{00000000-8CE2-42AA-9A86-32784615D9B1}"/>
            </c:ext>
          </c:extLst>
        </c:ser>
        <c:ser>
          <c:idx val="1"/>
          <c:order val="1"/>
          <c:tx>
            <c:strRef>
              <c:f>policy!$C$1</c:f>
              <c:strCache>
                <c:ptCount val="1"/>
                <c:pt idx="0">
                  <c:v>Επιτόκιο πράξεων κύριας αναχρηματοδότησης</c:v>
                </c:pt>
              </c:strCache>
            </c:strRef>
          </c:tx>
          <c:spPr>
            <a:ln w="28575" cap="rnd">
              <a:solidFill>
                <a:schemeClr val="accent2"/>
              </a:solidFill>
              <a:round/>
            </a:ln>
            <a:effectLst/>
          </c:spPr>
          <c:marker>
            <c:symbol val="none"/>
          </c:marker>
          <c:cat>
            <c:numRef>
              <c:f>policy!$A$2:$A$318</c:f>
              <c:numCache>
                <c:formatCode>yyyy\-mm\-dd</c:formatCode>
                <c:ptCount val="317"/>
                <c:pt idx="0">
                  <c:v>36556</c:v>
                </c:pt>
                <c:pt idx="1">
                  <c:v>36585</c:v>
                </c:pt>
                <c:pt idx="2">
                  <c:v>36616</c:v>
                </c:pt>
                <c:pt idx="3">
                  <c:v>36646</c:v>
                </c:pt>
                <c:pt idx="4">
                  <c:v>36677</c:v>
                </c:pt>
                <c:pt idx="5">
                  <c:v>36707</c:v>
                </c:pt>
                <c:pt idx="6">
                  <c:v>36738</c:v>
                </c:pt>
                <c:pt idx="7">
                  <c:v>36769</c:v>
                </c:pt>
                <c:pt idx="8">
                  <c:v>36799</c:v>
                </c:pt>
                <c:pt idx="9">
                  <c:v>36830</c:v>
                </c:pt>
                <c:pt idx="10">
                  <c:v>36860</c:v>
                </c:pt>
                <c:pt idx="11">
                  <c:v>36891</c:v>
                </c:pt>
                <c:pt idx="12">
                  <c:v>36922</c:v>
                </c:pt>
                <c:pt idx="13">
                  <c:v>36950</c:v>
                </c:pt>
                <c:pt idx="14">
                  <c:v>36981</c:v>
                </c:pt>
                <c:pt idx="15">
                  <c:v>37011</c:v>
                </c:pt>
                <c:pt idx="16">
                  <c:v>37042</c:v>
                </c:pt>
                <c:pt idx="17">
                  <c:v>37072</c:v>
                </c:pt>
                <c:pt idx="18">
                  <c:v>37103</c:v>
                </c:pt>
                <c:pt idx="19">
                  <c:v>37134</c:v>
                </c:pt>
                <c:pt idx="20">
                  <c:v>37164</c:v>
                </c:pt>
                <c:pt idx="21">
                  <c:v>37195</c:v>
                </c:pt>
                <c:pt idx="22">
                  <c:v>37225</c:v>
                </c:pt>
                <c:pt idx="23">
                  <c:v>37256</c:v>
                </c:pt>
                <c:pt idx="24">
                  <c:v>37287</c:v>
                </c:pt>
                <c:pt idx="25">
                  <c:v>37315</c:v>
                </c:pt>
                <c:pt idx="26">
                  <c:v>37346</c:v>
                </c:pt>
                <c:pt idx="27">
                  <c:v>37376</c:v>
                </c:pt>
                <c:pt idx="28">
                  <c:v>37407</c:v>
                </c:pt>
                <c:pt idx="29">
                  <c:v>37437</c:v>
                </c:pt>
                <c:pt idx="30">
                  <c:v>37468</c:v>
                </c:pt>
                <c:pt idx="31">
                  <c:v>37499</c:v>
                </c:pt>
                <c:pt idx="32">
                  <c:v>37529</c:v>
                </c:pt>
                <c:pt idx="33">
                  <c:v>37560</c:v>
                </c:pt>
                <c:pt idx="34">
                  <c:v>37590</c:v>
                </c:pt>
                <c:pt idx="35">
                  <c:v>37621</c:v>
                </c:pt>
                <c:pt idx="36">
                  <c:v>37652</c:v>
                </c:pt>
                <c:pt idx="37">
                  <c:v>37680</c:v>
                </c:pt>
                <c:pt idx="38">
                  <c:v>37711</c:v>
                </c:pt>
                <c:pt idx="39">
                  <c:v>37741</c:v>
                </c:pt>
                <c:pt idx="40">
                  <c:v>37772</c:v>
                </c:pt>
                <c:pt idx="41">
                  <c:v>37802</c:v>
                </c:pt>
                <c:pt idx="42">
                  <c:v>37833</c:v>
                </c:pt>
                <c:pt idx="43">
                  <c:v>37864</c:v>
                </c:pt>
                <c:pt idx="44">
                  <c:v>37894</c:v>
                </c:pt>
                <c:pt idx="45">
                  <c:v>37925</c:v>
                </c:pt>
                <c:pt idx="46">
                  <c:v>37955</c:v>
                </c:pt>
                <c:pt idx="47">
                  <c:v>37986</c:v>
                </c:pt>
                <c:pt idx="48">
                  <c:v>38017</c:v>
                </c:pt>
                <c:pt idx="49">
                  <c:v>38046</c:v>
                </c:pt>
                <c:pt idx="50">
                  <c:v>38077</c:v>
                </c:pt>
                <c:pt idx="51">
                  <c:v>38107</c:v>
                </c:pt>
                <c:pt idx="52">
                  <c:v>38138</c:v>
                </c:pt>
                <c:pt idx="53">
                  <c:v>38168</c:v>
                </c:pt>
                <c:pt idx="54">
                  <c:v>38199</c:v>
                </c:pt>
                <c:pt idx="55">
                  <c:v>38230</c:v>
                </c:pt>
                <c:pt idx="56">
                  <c:v>38260</c:v>
                </c:pt>
                <c:pt idx="57">
                  <c:v>38291</c:v>
                </c:pt>
                <c:pt idx="58">
                  <c:v>38321</c:v>
                </c:pt>
                <c:pt idx="59">
                  <c:v>38352</c:v>
                </c:pt>
                <c:pt idx="60">
                  <c:v>38383</c:v>
                </c:pt>
                <c:pt idx="61">
                  <c:v>38411</c:v>
                </c:pt>
                <c:pt idx="62">
                  <c:v>38442</c:v>
                </c:pt>
                <c:pt idx="63">
                  <c:v>38472</c:v>
                </c:pt>
                <c:pt idx="64">
                  <c:v>38503</c:v>
                </c:pt>
                <c:pt idx="65">
                  <c:v>38533</c:v>
                </c:pt>
                <c:pt idx="66">
                  <c:v>38564</c:v>
                </c:pt>
                <c:pt idx="67">
                  <c:v>38595</c:v>
                </c:pt>
                <c:pt idx="68">
                  <c:v>38625</c:v>
                </c:pt>
                <c:pt idx="69">
                  <c:v>38656</c:v>
                </c:pt>
                <c:pt idx="70">
                  <c:v>38686</c:v>
                </c:pt>
                <c:pt idx="71">
                  <c:v>38717</c:v>
                </c:pt>
                <c:pt idx="72">
                  <c:v>38748</c:v>
                </c:pt>
                <c:pt idx="73">
                  <c:v>38776</c:v>
                </c:pt>
                <c:pt idx="74">
                  <c:v>38807</c:v>
                </c:pt>
                <c:pt idx="75">
                  <c:v>38837</c:v>
                </c:pt>
                <c:pt idx="76">
                  <c:v>38868</c:v>
                </c:pt>
                <c:pt idx="77">
                  <c:v>38898</c:v>
                </c:pt>
                <c:pt idx="78">
                  <c:v>38929</c:v>
                </c:pt>
                <c:pt idx="79">
                  <c:v>38960</c:v>
                </c:pt>
                <c:pt idx="80">
                  <c:v>38990</c:v>
                </c:pt>
                <c:pt idx="81">
                  <c:v>39021</c:v>
                </c:pt>
                <c:pt idx="82">
                  <c:v>39051</c:v>
                </c:pt>
                <c:pt idx="83">
                  <c:v>39082</c:v>
                </c:pt>
                <c:pt idx="84">
                  <c:v>39113</c:v>
                </c:pt>
                <c:pt idx="85">
                  <c:v>39141</c:v>
                </c:pt>
                <c:pt idx="86">
                  <c:v>39172</c:v>
                </c:pt>
                <c:pt idx="87">
                  <c:v>39202</c:v>
                </c:pt>
                <c:pt idx="88">
                  <c:v>39233</c:v>
                </c:pt>
                <c:pt idx="89">
                  <c:v>39263</c:v>
                </c:pt>
                <c:pt idx="90">
                  <c:v>39294</c:v>
                </c:pt>
                <c:pt idx="91">
                  <c:v>39325</c:v>
                </c:pt>
                <c:pt idx="92">
                  <c:v>39355</c:v>
                </c:pt>
                <c:pt idx="93">
                  <c:v>39386</c:v>
                </c:pt>
                <c:pt idx="94">
                  <c:v>39416</c:v>
                </c:pt>
                <c:pt idx="95">
                  <c:v>39447</c:v>
                </c:pt>
                <c:pt idx="96">
                  <c:v>39478</c:v>
                </c:pt>
                <c:pt idx="97">
                  <c:v>39507</c:v>
                </c:pt>
                <c:pt idx="98">
                  <c:v>39538</c:v>
                </c:pt>
                <c:pt idx="99">
                  <c:v>39568</c:v>
                </c:pt>
                <c:pt idx="100">
                  <c:v>39599</c:v>
                </c:pt>
                <c:pt idx="101">
                  <c:v>39629</c:v>
                </c:pt>
                <c:pt idx="102">
                  <c:v>39660</c:v>
                </c:pt>
                <c:pt idx="103">
                  <c:v>39691</c:v>
                </c:pt>
                <c:pt idx="104">
                  <c:v>39721</c:v>
                </c:pt>
                <c:pt idx="105">
                  <c:v>39752</c:v>
                </c:pt>
                <c:pt idx="106">
                  <c:v>39782</c:v>
                </c:pt>
                <c:pt idx="107">
                  <c:v>39813</c:v>
                </c:pt>
                <c:pt idx="108">
                  <c:v>39844</c:v>
                </c:pt>
                <c:pt idx="109">
                  <c:v>39872</c:v>
                </c:pt>
                <c:pt idx="110">
                  <c:v>39903</c:v>
                </c:pt>
                <c:pt idx="111">
                  <c:v>39933</c:v>
                </c:pt>
                <c:pt idx="112">
                  <c:v>39964</c:v>
                </c:pt>
                <c:pt idx="113">
                  <c:v>39994</c:v>
                </c:pt>
                <c:pt idx="114">
                  <c:v>40025</c:v>
                </c:pt>
                <c:pt idx="115">
                  <c:v>40056</c:v>
                </c:pt>
                <c:pt idx="116">
                  <c:v>40086</c:v>
                </c:pt>
                <c:pt idx="117">
                  <c:v>40117</c:v>
                </c:pt>
                <c:pt idx="118">
                  <c:v>40147</c:v>
                </c:pt>
                <c:pt idx="119">
                  <c:v>40178</c:v>
                </c:pt>
                <c:pt idx="120">
                  <c:v>40209</c:v>
                </c:pt>
                <c:pt idx="121">
                  <c:v>40237</c:v>
                </c:pt>
                <c:pt idx="122">
                  <c:v>40268</c:v>
                </c:pt>
                <c:pt idx="123">
                  <c:v>40298</c:v>
                </c:pt>
                <c:pt idx="124">
                  <c:v>40329</c:v>
                </c:pt>
                <c:pt idx="125">
                  <c:v>40359</c:v>
                </c:pt>
                <c:pt idx="126">
                  <c:v>40390</c:v>
                </c:pt>
                <c:pt idx="127">
                  <c:v>40421</c:v>
                </c:pt>
                <c:pt idx="128">
                  <c:v>40451</c:v>
                </c:pt>
                <c:pt idx="129">
                  <c:v>40482</c:v>
                </c:pt>
                <c:pt idx="130">
                  <c:v>40512</c:v>
                </c:pt>
                <c:pt idx="131">
                  <c:v>40543</c:v>
                </c:pt>
                <c:pt idx="132">
                  <c:v>40574</c:v>
                </c:pt>
                <c:pt idx="133">
                  <c:v>40602</c:v>
                </c:pt>
                <c:pt idx="134">
                  <c:v>40633</c:v>
                </c:pt>
                <c:pt idx="135">
                  <c:v>40663</c:v>
                </c:pt>
                <c:pt idx="136">
                  <c:v>40694</c:v>
                </c:pt>
                <c:pt idx="137">
                  <c:v>40724</c:v>
                </c:pt>
                <c:pt idx="138">
                  <c:v>40755</c:v>
                </c:pt>
                <c:pt idx="139">
                  <c:v>40786</c:v>
                </c:pt>
                <c:pt idx="140">
                  <c:v>40816</c:v>
                </c:pt>
                <c:pt idx="141">
                  <c:v>40847</c:v>
                </c:pt>
                <c:pt idx="142">
                  <c:v>40877</c:v>
                </c:pt>
                <c:pt idx="143">
                  <c:v>40908</c:v>
                </c:pt>
                <c:pt idx="144">
                  <c:v>40939</c:v>
                </c:pt>
                <c:pt idx="145">
                  <c:v>40968</c:v>
                </c:pt>
                <c:pt idx="146">
                  <c:v>40999</c:v>
                </c:pt>
                <c:pt idx="147">
                  <c:v>41029</c:v>
                </c:pt>
                <c:pt idx="148">
                  <c:v>41060</c:v>
                </c:pt>
                <c:pt idx="149">
                  <c:v>41090</c:v>
                </c:pt>
                <c:pt idx="150">
                  <c:v>41121</c:v>
                </c:pt>
                <c:pt idx="151">
                  <c:v>41152</c:v>
                </c:pt>
                <c:pt idx="152">
                  <c:v>41182</c:v>
                </c:pt>
                <c:pt idx="153">
                  <c:v>41213</c:v>
                </c:pt>
                <c:pt idx="154">
                  <c:v>41243</c:v>
                </c:pt>
                <c:pt idx="155">
                  <c:v>41274</c:v>
                </c:pt>
                <c:pt idx="156">
                  <c:v>41305</c:v>
                </c:pt>
                <c:pt idx="157">
                  <c:v>41333</c:v>
                </c:pt>
                <c:pt idx="158">
                  <c:v>41364</c:v>
                </c:pt>
                <c:pt idx="159">
                  <c:v>41394</c:v>
                </c:pt>
                <c:pt idx="160">
                  <c:v>41425</c:v>
                </c:pt>
                <c:pt idx="161">
                  <c:v>41455</c:v>
                </c:pt>
                <c:pt idx="162">
                  <c:v>41486</c:v>
                </c:pt>
                <c:pt idx="163">
                  <c:v>41517</c:v>
                </c:pt>
                <c:pt idx="164">
                  <c:v>41547</c:v>
                </c:pt>
                <c:pt idx="165">
                  <c:v>41578</c:v>
                </c:pt>
                <c:pt idx="166">
                  <c:v>41608</c:v>
                </c:pt>
                <c:pt idx="167">
                  <c:v>41639</c:v>
                </c:pt>
                <c:pt idx="168">
                  <c:v>41670</c:v>
                </c:pt>
                <c:pt idx="169">
                  <c:v>41698</c:v>
                </c:pt>
                <c:pt idx="170">
                  <c:v>41729</c:v>
                </c:pt>
                <c:pt idx="171">
                  <c:v>41759</c:v>
                </c:pt>
                <c:pt idx="172">
                  <c:v>41790</c:v>
                </c:pt>
                <c:pt idx="173">
                  <c:v>41820</c:v>
                </c:pt>
                <c:pt idx="174">
                  <c:v>41851</c:v>
                </c:pt>
                <c:pt idx="175">
                  <c:v>41882</c:v>
                </c:pt>
                <c:pt idx="176">
                  <c:v>41912</c:v>
                </c:pt>
                <c:pt idx="177">
                  <c:v>41943</c:v>
                </c:pt>
                <c:pt idx="178">
                  <c:v>41973</c:v>
                </c:pt>
                <c:pt idx="179">
                  <c:v>42004</c:v>
                </c:pt>
                <c:pt idx="180">
                  <c:v>42035</c:v>
                </c:pt>
                <c:pt idx="181">
                  <c:v>42063</c:v>
                </c:pt>
                <c:pt idx="182">
                  <c:v>42094</c:v>
                </c:pt>
                <c:pt idx="183">
                  <c:v>42124</c:v>
                </c:pt>
                <c:pt idx="184">
                  <c:v>42155</c:v>
                </c:pt>
                <c:pt idx="185">
                  <c:v>42185</c:v>
                </c:pt>
                <c:pt idx="186">
                  <c:v>42216</c:v>
                </c:pt>
                <c:pt idx="187">
                  <c:v>42247</c:v>
                </c:pt>
                <c:pt idx="188">
                  <c:v>42277</c:v>
                </c:pt>
                <c:pt idx="189">
                  <c:v>42308</c:v>
                </c:pt>
                <c:pt idx="190">
                  <c:v>42338</c:v>
                </c:pt>
                <c:pt idx="191">
                  <c:v>42369</c:v>
                </c:pt>
                <c:pt idx="192">
                  <c:v>42400</c:v>
                </c:pt>
                <c:pt idx="193">
                  <c:v>42429</c:v>
                </c:pt>
                <c:pt idx="194">
                  <c:v>42460</c:v>
                </c:pt>
                <c:pt idx="195">
                  <c:v>42490</c:v>
                </c:pt>
                <c:pt idx="196">
                  <c:v>42521</c:v>
                </c:pt>
                <c:pt idx="197">
                  <c:v>42551</c:v>
                </c:pt>
                <c:pt idx="198">
                  <c:v>42582</c:v>
                </c:pt>
                <c:pt idx="199">
                  <c:v>42613</c:v>
                </c:pt>
                <c:pt idx="200">
                  <c:v>42643</c:v>
                </c:pt>
                <c:pt idx="201">
                  <c:v>42674</c:v>
                </c:pt>
                <c:pt idx="202">
                  <c:v>42704</c:v>
                </c:pt>
                <c:pt idx="203">
                  <c:v>42735</c:v>
                </c:pt>
                <c:pt idx="204">
                  <c:v>42766</c:v>
                </c:pt>
                <c:pt idx="205">
                  <c:v>42794</c:v>
                </c:pt>
                <c:pt idx="206">
                  <c:v>42825</c:v>
                </c:pt>
                <c:pt idx="207">
                  <c:v>42855</c:v>
                </c:pt>
                <c:pt idx="208">
                  <c:v>42886</c:v>
                </c:pt>
                <c:pt idx="209">
                  <c:v>42916</c:v>
                </c:pt>
                <c:pt idx="210">
                  <c:v>42947</c:v>
                </c:pt>
                <c:pt idx="211">
                  <c:v>42978</c:v>
                </c:pt>
                <c:pt idx="212">
                  <c:v>43008</c:v>
                </c:pt>
                <c:pt idx="213">
                  <c:v>43039</c:v>
                </c:pt>
                <c:pt idx="214">
                  <c:v>43069</c:v>
                </c:pt>
                <c:pt idx="215">
                  <c:v>43100</c:v>
                </c:pt>
                <c:pt idx="216">
                  <c:v>43131</c:v>
                </c:pt>
                <c:pt idx="217">
                  <c:v>43159</c:v>
                </c:pt>
                <c:pt idx="218">
                  <c:v>43190</c:v>
                </c:pt>
                <c:pt idx="219">
                  <c:v>43220</c:v>
                </c:pt>
                <c:pt idx="220">
                  <c:v>43251</c:v>
                </c:pt>
                <c:pt idx="221">
                  <c:v>43281</c:v>
                </c:pt>
                <c:pt idx="222">
                  <c:v>43312</c:v>
                </c:pt>
                <c:pt idx="223">
                  <c:v>43343</c:v>
                </c:pt>
                <c:pt idx="224">
                  <c:v>43373</c:v>
                </c:pt>
                <c:pt idx="225">
                  <c:v>43404</c:v>
                </c:pt>
                <c:pt idx="226">
                  <c:v>43434</c:v>
                </c:pt>
                <c:pt idx="227">
                  <c:v>43465</c:v>
                </c:pt>
                <c:pt idx="228">
                  <c:v>43496</c:v>
                </c:pt>
                <c:pt idx="229">
                  <c:v>43524</c:v>
                </c:pt>
                <c:pt idx="230">
                  <c:v>43555</c:v>
                </c:pt>
                <c:pt idx="231">
                  <c:v>43585</c:v>
                </c:pt>
                <c:pt idx="232">
                  <c:v>43616</c:v>
                </c:pt>
                <c:pt idx="233">
                  <c:v>43646</c:v>
                </c:pt>
                <c:pt idx="234">
                  <c:v>43677</c:v>
                </c:pt>
                <c:pt idx="235">
                  <c:v>43708</c:v>
                </c:pt>
                <c:pt idx="236">
                  <c:v>43738</c:v>
                </c:pt>
                <c:pt idx="237">
                  <c:v>43769</c:v>
                </c:pt>
                <c:pt idx="238">
                  <c:v>43799</c:v>
                </c:pt>
                <c:pt idx="239">
                  <c:v>43830</c:v>
                </c:pt>
                <c:pt idx="240">
                  <c:v>43861</c:v>
                </c:pt>
                <c:pt idx="241">
                  <c:v>43890</c:v>
                </c:pt>
                <c:pt idx="242">
                  <c:v>43921</c:v>
                </c:pt>
                <c:pt idx="243">
                  <c:v>43951</c:v>
                </c:pt>
                <c:pt idx="244">
                  <c:v>43982</c:v>
                </c:pt>
                <c:pt idx="245">
                  <c:v>44012</c:v>
                </c:pt>
                <c:pt idx="246">
                  <c:v>44043</c:v>
                </c:pt>
                <c:pt idx="247">
                  <c:v>44074</c:v>
                </c:pt>
                <c:pt idx="248">
                  <c:v>44104</c:v>
                </c:pt>
                <c:pt idx="249">
                  <c:v>44135</c:v>
                </c:pt>
                <c:pt idx="250">
                  <c:v>44165</c:v>
                </c:pt>
                <c:pt idx="251">
                  <c:v>44196</c:v>
                </c:pt>
                <c:pt idx="252">
                  <c:v>44227</c:v>
                </c:pt>
                <c:pt idx="253">
                  <c:v>44255</c:v>
                </c:pt>
                <c:pt idx="254">
                  <c:v>44286</c:v>
                </c:pt>
                <c:pt idx="255">
                  <c:v>44316</c:v>
                </c:pt>
                <c:pt idx="256">
                  <c:v>44347</c:v>
                </c:pt>
                <c:pt idx="257">
                  <c:v>44377</c:v>
                </c:pt>
                <c:pt idx="258">
                  <c:v>44408</c:v>
                </c:pt>
                <c:pt idx="259">
                  <c:v>44439</c:v>
                </c:pt>
                <c:pt idx="260">
                  <c:v>44469</c:v>
                </c:pt>
                <c:pt idx="261">
                  <c:v>44500</c:v>
                </c:pt>
                <c:pt idx="262">
                  <c:v>44530</c:v>
                </c:pt>
                <c:pt idx="263">
                  <c:v>44561</c:v>
                </c:pt>
                <c:pt idx="264">
                  <c:v>44592</c:v>
                </c:pt>
                <c:pt idx="265">
                  <c:v>44620</c:v>
                </c:pt>
                <c:pt idx="266">
                  <c:v>44651</c:v>
                </c:pt>
                <c:pt idx="267">
                  <c:v>44681</c:v>
                </c:pt>
                <c:pt idx="268">
                  <c:v>44712</c:v>
                </c:pt>
                <c:pt idx="269">
                  <c:v>44742</c:v>
                </c:pt>
                <c:pt idx="270">
                  <c:v>44773</c:v>
                </c:pt>
                <c:pt idx="271">
                  <c:v>44804</c:v>
                </c:pt>
                <c:pt idx="272">
                  <c:v>44834</c:v>
                </c:pt>
                <c:pt idx="273">
                  <c:v>44865</c:v>
                </c:pt>
                <c:pt idx="274">
                  <c:v>44895</c:v>
                </c:pt>
                <c:pt idx="275">
                  <c:v>44926</c:v>
                </c:pt>
                <c:pt idx="276">
                  <c:v>44957</c:v>
                </c:pt>
                <c:pt idx="277">
                  <c:v>44985</c:v>
                </c:pt>
                <c:pt idx="278">
                  <c:v>45016</c:v>
                </c:pt>
                <c:pt idx="279">
                  <c:v>45046</c:v>
                </c:pt>
                <c:pt idx="280">
                  <c:v>45077</c:v>
                </c:pt>
                <c:pt idx="281">
                  <c:v>45107</c:v>
                </c:pt>
                <c:pt idx="282">
                  <c:v>45138</c:v>
                </c:pt>
                <c:pt idx="283">
                  <c:v>45169</c:v>
                </c:pt>
                <c:pt idx="284">
                  <c:v>45199</c:v>
                </c:pt>
                <c:pt idx="285">
                  <c:v>45230</c:v>
                </c:pt>
                <c:pt idx="286">
                  <c:v>45260</c:v>
                </c:pt>
                <c:pt idx="287">
                  <c:v>45291</c:v>
                </c:pt>
                <c:pt idx="288">
                  <c:v>45322</c:v>
                </c:pt>
                <c:pt idx="289">
                  <c:v>45351</c:v>
                </c:pt>
                <c:pt idx="290">
                  <c:v>45382</c:v>
                </c:pt>
                <c:pt idx="291">
                  <c:v>45412</c:v>
                </c:pt>
                <c:pt idx="292">
                  <c:v>45443</c:v>
                </c:pt>
                <c:pt idx="293">
                  <c:v>45473</c:v>
                </c:pt>
                <c:pt idx="294">
                  <c:v>45504</c:v>
                </c:pt>
                <c:pt idx="295">
                  <c:v>45535</c:v>
                </c:pt>
                <c:pt idx="296">
                  <c:v>45565</c:v>
                </c:pt>
                <c:pt idx="297">
                  <c:v>45596</c:v>
                </c:pt>
                <c:pt idx="298">
                  <c:v>45626</c:v>
                </c:pt>
                <c:pt idx="299">
                  <c:v>45657</c:v>
                </c:pt>
                <c:pt idx="300">
                  <c:v>45688</c:v>
                </c:pt>
                <c:pt idx="301">
                  <c:v>45716</c:v>
                </c:pt>
                <c:pt idx="302">
                  <c:v>45747</c:v>
                </c:pt>
                <c:pt idx="303">
                  <c:v>45777</c:v>
                </c:pt>
                <c:pt idx="304">
                  <c:v>45808</c:v>
                </c:pt>
                <c:pt idx="305">
                  <c:v>45838</c:v>
                </c:pt>
                <c:pt idx="306">
                  <c:v>45869</c:v>
                </c:pt>
                <c:pt idx="307">
                  <c:v>45900</c:v>
                </c:pt>
                <c:pt idx="308">
                  <c:v>45930</c:v>
                </c:pt>
                <c:pt idx="309">
                  <c:v>45961</c:v>
                </c:pt>
                <c:pt idx="310">
                  <c:v>45991</c:v>
                </c:pt>
                <c:pt idx="311">
                  <c:v>46022</c:v>
                </c:pt>
                <c:pt idx="312">
                  <c:v>46053</c:v>
                </c:pt>
                <c:pt idx="313">
                  <c:v>46081</c:v>
                </c:pt>
                <c:pt idx="314">
                  <c:v>46112</c:v>
                </c:pt>
                <c:pt idx="315">
                  <c:v>46142</c:v>
                </c:pt>
                <c:pt idx="316">
                  <c:v>46173</c:v>
                </c:pt>
              </c:numCache>
            </c:numRef>
          </c:cat>
          <c:val>
            <c:numRef>
              <c:f>policy!$C$2:$C$318</c:f>
              <c:numCache>
                <c:formatCode>0.00</c:formatCode>
                <c:ptCount val="317"/>
                <c:pt idx="0">
                  <c:v>3</c:v>
                </c:pt>
                <c:pt idx="1">
                  <c:v>3.25</c:v>
                </c:pt>
                <c:pt idx="2">
                  <c:v>3.5</c:v>
                </c:pt>
                <c:pt idx="3">
                  <c:v>3.75</c:v>
                </c:pt>
                <c:pt idx="4">
                  <c:v>3.75</c:v>
                </c:pt>
                <c:pt idx="5">
                  <c:v>4.25</c:v>
                </c:pt>
                <c:pt idx="6">
                  <c:v>4.25</c:v>
                </c:pt>
                <c:pt idx="7">
                  <c:v>4.25</c:v>
                </c:pt>
                <c:pt idx="8">
                  <c:v>4.5</c:v>
                </c:pt>
                <c:pt idx="9">
                  <c:v>4.75</c:v>
                </c:pt>
                <c:pt idx="10">
                  <c:v>4.75</c:v>
                </c:pt>
                <c:pt idx="11">
                  <c:v>4.75</c:v>
                </c:pt>
                <c:pt idx="12">
                  <c:v>4.75</c:v>
                </c:pt>
                <c:pt idx="13">
                  <c:v>4.75</c:v>
                </c:pt>
                <c:pt idx="14">
                  <c:v>4.75</c:v>
                </c:pt>
                <c:pt idx="15">
                  <c:v>4.75</c:v>
                </c:pt>
                <c:pt idx="16">
                  <c:v>4.5</c:v>
                </c:pt>
                <c:pt idx="17">
                  <c:v>4.5</c:v>
                </c:pt>
                <c:pt idx="18">
                  <c:v>4.5</c:v>
                </c:pt>
                <c:pt idx="19">
                  <c:v>4.25</c:v>
                </c:pt>
                <c:pt idx="20">
                  <c:v>3.75</c:v>
                </c:pt>
                <c:pt idx="21">
                  <c:v>3.75</c:v>
                </c:pt>
                <c:pt idx="22">
                  <c:v>3.25</c:v>
                </c:pt>
                <c:pt idx="23">
                  <c:v>3.25</c:v>
                </c:pt>
                <c:pt idx="24">
                  <c:v>3.25</c:v>
                </c:pt>
                <c:pt idx="25">
                  <c:v>3.25</c:v>
                </c:pt>
                <c:pt idx="26">
                  <c:v>3.25</c:v>
                </c:pt>
                <c:pt idx="27">
                  <c:v>3.25</c:v>
                </c:pt>
                <c:pt idx="28">
                  <c:v>3.25</c:v>
                </c:pt>
                <c:pt idx="29">
                  <c:v>3.25</c:v>
                </c:pt>
                <c:pt idx="30">
                  <c:v>3.25</c:v>
                </c:pt>
                <c:pt idx="31">
                  <c:v>3.25</c:v>
                </c:pt>
                <c:pt idx="32">
                  <c:v>3.25</c:v>
                </c:pt>
                <c:pt idx="33">
                  <c:v>3.25</c:v>
                </c:pt>
                <c:pt idx="34">
                  <c:v>3.25</c:v>
                </c:pt>
                <c:pt idx="35">
                  <c:v>2.75</c:v>
                </c:pt>
                <c:pt idx="36">
                  <c:v>2.75</c:v>
                </c:pt>
                <c:pt idx="37">
                  <c:v>2.75</c:v>
                </c:pt>
                <c:pt idx="38">
                  <c:v>2.5</c:v>
                </c:pt>
                <c:pt idx="39">
                  <c:v>2.5</c:v>
                </c:pt>
                <c:pt idx="40">
                  <c:v>2.5</c:v>
                </c:pt>
                <c:pt idx="41">
                  <c:v>2</c:v>
                </c:pt>
                <c:pt idx="42">
                  <c:v>2</c:v>
                </c:pt>
                <c:pt idx="43">
                  <c:v>2</c:v>
                </c:pt>
                <c:pt idx="44">
                  <c:v>2</c:v>
                </c:pt>
                <c:pt idx="45">
                  <c:v>2</c:v>
                </c:pt>
                <c:pt idx="46">
                  <c:v>2</c:v>
                </c:pt>
                <c:pt idx="47">
                  <c:v>2</c:v>
                </c:pt>
                <c:pt idx="48">
                  <c:v>2</c:v>
                </c:pt>
                <c:pt idx="49">
                  <c:v>2</c:v>
                </c:pt>
                <c:pt idx="50">
                  <c:v>2</c:v>
                </c:pt>
                <c:pt idx="51">
                  <c:v>2</c:v>
                </c:pt>
                <c:pt idx="52">
                  <c:v>2</c:v>
                </c:pt>
                <c:pt idx="53">
                  <c:v>2</c:v>
                </c:pt>
                <c:pt idx="54">
                  <c:v>2</c:v>
                </c:pt>
                <c:pt idx="55">
                  <c:v>2</c:v>
                </c:pt>
                <c:pt idx="56">
                  <c:v>2</c:v>
                </c:pt>
                <c:pt idx="57">
                  <c:v>2</c:v>
                </c:pt>
                <c:pt idx="58">
                  <c:v>2</c:v>
                </c:pt>
                <c:pt idx="59">
                  <c:v>2</c:v>
                </c:pt>
                <c:pt idx="60">
                  <c:v>2</c:v>
                </c:pt>
                <c:pt idx="61">
                  <c:v>2</c:v>
                </c:pt>
                <c:pt idx="62">
                  <c:v>2</c:v>
                </c:pt>
                <c:pt idx="63">
                  <c:v>2</c:v>
                </c:pt>
                <c:pt idx="64">
                  <c:v>2</c:v>
                </c:pt>
                <c:pt idx="65">
                  <c:v>2</c:v>
                </c:pt>
                <c:pt idx="66">
                  <c:v>2</c:v>
                </c:pt>
                <c:pt idx="67">
                  <c:v>2</c:v>
                </c:pt>
                <c:pt idx="68">
                  <c:v>2</c:v>
                </c:pt>
                <c:pt idx="69">
                  <c:v>2</c:v>
                </c:pt>
                <c:pt idx="70">
                  <c:v>2</c:v>
                </c:pt>
                <c:pt idx="71">
                  <c:v>2.25</c:v>
                </c:pt>
                <c:pt idx="72">
                  <c:v>2.25</c:v>
                </c:pt>
                <c:pt idx="73">
                  <c:v>2.25</c:v>
                </c:pt>
                <c:pt idx="74">
                  <c:v>2.5</c:v>
                </c:pt>
                <c:pt idx="75">
                  <c:v>2.5</c:v>
                </c:pt>
                <c:pt idx="76">
                  <c:v>2.5</c:v>
                </c:pt>
                <c:pt idx="77">
                  <c:v>2.75</c:v>
                </c:pt>
                <c:pt idx="78">
                  <c:v>2.75</c:v>
                </c:pt>
                <c:pt idx="79">
                  <c:v>3</c:v>
                </c:pt>
                <c:pt idx="80">
                  <c:v>3</c:v>
                </c:pt>
                <c:pt idx="81">
                  <c:v>3.25</c:v>
                </c:pt>
                <c:pt idx="82">
                  <c:v>3.25</c:v>
                </c:pt>
                <c:pt idx="83">
                  <c:v>3.5</c:v>
                </c:pt>
                <c:pt idx="84">
                  <c:v>3.5</c:v>
                </c:pt>
                <c:pt idx="85">
                  <c:v>3.5</c:v>
                </c:pt>
                <c:pt idx="86">
                  <c:v>3.75</c:v>
                </c:pt>
                <c:pt idx="87">
                  <c:v>3.75</c:v>
                </c:pt>
                <c:pt idx="88">
                  <c:v>3.75</c:v>
                </c:pt>
                <c:pt idx="89">
                  <c:v>4</c:v>
                </c:pt>
                <c:pt idx="90">
                  <c:v>4</c:v>
                </c:pt>
                <c:pt idx="91">
                  <c:v>4</c:v>
                </c:pt>
                <c:pt idx="92">
                  <c:v>4</c:v>
                </c:pt>
                <c:pt idx="93">
                  <c:v>4</c:v>
                </c:pt>
                <c:pt idx="94">
                  <c:v>4</c:v>
                </c:pt>
                <c:pt idx="95">
                  <c:v>4</c:v>
                </c:pt>
                <c:pt idx="96">
                  <c:v>4</c:v>
                </c:pt>
                <c:pt idx="97">
                  <c:v>4</c:v>
                </c:pt>
                <c:pt idx="98">
                  <c:v>4</c:v>
                </c:pt>
                <c:pt idx="99">
                  <c:v>4</c:v>
                </c:pt>
                <c:pt idx="100">
                  <c:v>4</c:v>
                </c:pt>
                <c:pt idx="101">
                  <c:v>4</c:v>
                </c:pt>
                <c:pt idx="102">
                  <c:v>4.25</c:v>
                </c:pt>
                <c:pt idx="103">
                  <c:v>4.25</c:v>
                </c:pt>
                <c:pt idx="104">
                  <c:v>4.25</c:v>
                </c:pt>
                <c:pt idx="105">
                  <c:v>3.75</c:v>
                </c:pt>
                <c:pt idx="106">
                  <c:v>3.25</c:v>
                </c:pt>
                <c:pt idx="107">
                  <c:v>2.5</c:v>
                </c:pt>
                <c:pt idx="108">
                  <c:v>2</c:v>
                </c:pt>
                <c:pt idx="109">
                  <c:v>2</c:v>
                </c:pt>
                <c:pt idx="110">
                  <c:v>1.5</c:v>
                </c:pt>
                <c:pt idx="111">
                  <c:v>1.25</c:v>
                </c:pt>
                <c:pt idx="112">
                  <c:v>1</c:v>
                </c:pt>
                <c:pt idx="113">
                  <c:v>1</c:v>
                </c:pt>
                <c:pt idx="114">
                  <c:v>1</c:v>
                </c:pt>
                <c:pt idx="115">
                  <c:v>1</c:v>
                </c:pt>
                <c:pt idx="116">
                  <c:v>1</c:v>
                </c:pt>
                <c:pt idx="117">
                  <c:v>1</c:v>
                </c:pt>
                <c:pt idx="118">
                  <c:v>1</c:v>
                </c:pt>
                <c:pt idx="119">
                  <c:v>1</c:v>
                </c:pt>
                <c:pt idx="120">
                  <c:v>1</c:v>
                </c:pt>
                <c:pt idx="121">
                  <c:v>1</c:v>
                </c:pt>
                <c:pt idx="122">
                  <c:v>1</c:v>
                </c:pt>
                <c:pt idx="123">
                  <c:v>1</c:v>
                </c:pt>
                <c:pt idx="124">
                  <c:v>1</c:v>
                </c:pt>
                <c:pt idx="125">
                  <c:v>1</c:v>
                </c:pt>
                <c:pt idx="126">
                  <c:v>1</c:v>
                </c:pt>
                <c:pt idx="127">
                  <c:v>1</c:v>
                </c:pt>
                <c:pt idx="128">
                  <c:v>1</c:v>
                </c:pt>
                <c:pt idx="129">
                  <c:v>1</c:v>
                </c:pt>
                <c:pt idx="130">
                  <c:v>1</c:v>
                </c:pt>
                <c:pt idx="131">
                  <c:v>1</c:v>
                </c:pt>
                <c:pt idx="132">
                  <c:v>1</c:v>
                </c:pt>
                <c:pt idx="133">
                  <c:v>1</c:v>
                </c:pt>
                <c:pt idx="134">
                  <c:v>1</c:v>
                </c:pt>
                <c:pt idx="135">
                  <c:v>1.25</c:v>
                </c:pt>
                <c:pt idx="136">
                  <c:v>1.25</c:v>
                </c:pt>
                <c:pt idx="137">
                  <c:v>1.25</c:v>
                </c:pt>
                <c:pt idx="138">
                  <c:v>1.5</c:v>
                </c:pt>
                <c:pt idx="139">
                  <c:v>1.5</c:v>
                </c:pt>
                <c:pt idx="140">
                  <c:v>1.5</c:v>
                </c:pt>
                <c:pt idx="141">
                  <c:v>1.5</c:v>
                </c:pt>
                <c:pt idx="142">
                  <c:v>1.25</c:v>
                </c:pt>
                <c:pt idx="143">
                  <c:v>1</c:v>
                </c:pt>
                <c:pt idx="144">
                  <c:v>1</c:v>
                </c:pt>
                <c:pt idx="145">
                  <c:v>1</c:v>
                </c:pt>
                <c:pt idx="146">
                  <c:v>1</c:v>
                </c:pt>
                <c:pt idx="147">
                  <c:v>1</c:v>
                </c:pt>
                <c:pt idx="148">
                  <c:v>1</c:v>
                </c:pt>
                <c:pt idx="149">
                  <c:v>1</c:v>
                </c:pt>
                <c:pt idx="150">
                  <c:v>0.75</c:v>
                </c:pt>
                <c:pt idx="151">
                  <c:v>0.75</c:v>
                </c:pt>
                <c:pt idx="152">
                  <c:v>0.75</c:v>
                </c:pt>
                <c:pt idx="153">
                  <c:v>0.75</c:v>
                </c:pt>
                <c:pt idx="154">
                  <c:v>0.75</c:v>
                </c:pt>
                <c:pt idx="155">
                  <c:v>0.75</c:v>
                </c:pt>
                <c:pt idx="156">
                  <c:v>0.75</c:v>
                </c:pt>
                <c:pt idx="157">
                  <c:v>0.75</c:v>
                </c:pt>
                <c:pt idx="158">
                  <c:v>0.75</c:v>
                </c:pt>
                <c:pt idx="159">
                  <c:v>0.75</c:v>
                </c:pt>
                <c:pt idx="160">
                  <c:v>0.5</c:v>
                </c:pt>
                <c:pt idx="161">
                  <c:v>0.5</c:v>
                </c:pt>
                <c:pt idx="162">
                  <c:v>0.5</c:v>
                </c:pt>
                <c:pt idx="163">
                  <c:v>0.5</c:v>
                </c:pt>
                <c:pt idx="164">
                  <c:v>0.5</c:v>
                </c:pt>
                <c:pt idx="165">
                  <c:v>0.5</c:v>
                </c:pt>
                <c:pt idx="166">
                  <c:v>0.25</c:v>
                </c:pt>
                <c:pt idx="167">
                  <c:v>0.25</c:v>
                </c:pt>
                <c:pt idx="168">
                  <c:v>0.25</c:v>
                </c:pt>
                <c:pt idx="169">
                  <c:v>0.25</c:v>
                </c:pt>
                <c:pt idx="170">
                  <c:v>0.25</c:v>
                </c:pt>
                <c:pt idx="171">
                  <c:v>0.25</c:v>
                </c:pt>
                <c:pt idx="172">
                  <c:v>0.25</c:v>
                </c:pt>
                <c:pt idx="173">
                  <c:v>0.15</c:v>
                </c:pt>
                <c:pt idx="174">
                  <c:v>0.15</c:v>
                </c:pt>
                <c:pt idx="175">
                  <c:v>0.15</c:v>
                </c:pt>
                <c:pt idx="176">
                  <c:v>0.05</c:v>
                </c:pt>
                <c:pt idx="177">
                  <c:v>0.05</c:v>
                </c:pt>
                <c:pt idx="178">
                  <c:v>0.05</c:v>
                </c:pt>
                <c:pt idx="179">
                  <c:v>0.05</c:v>
                </c:pt>
                <c:pt idx="180">
                  <c:v>0.05</c:v>
                </c:pt>
                <c:pt idx="181">
                  <c:v>0.05</c:v>
                </c:pt>
                <c:pt idx="182">
                  <c:v>0.05</c:v>
                </c:pt>
                <c:pt idx="183">
                  <c:v>0.05</c:v>
                </c:pt>
                <c:pt idx="184">
                  <c:v>0.05</c:v>
                </c:pt>
                <c:pt idx="185">
                  <c:v>0.05</c:v>
                </c:pt>
                <c:pt idx="186">
                  <c:v>0.05</c:v>
                </c:pt>
                <c:pt idx="187">
                  <c:v>0.05</c:v>
                </c:pt>
                <c:pt idx="188">
                  <c:v>0.05</c:v>
                </c:pt>
                <c:pt idx="189">
                  <c:v>0.05</c:v>
                </c:pt>
                <c:pt idx="190">
                  <c:v>0.05</c:v>
                </c:pt>
                <c:pt idx="191">
                  <c:v>0.05</c:v>
                </c:pt>
                <c:pt idx="192">
                  <c:v>0.05</c:v>
                </c:pt>
                <c:pt idx="193">
                  <c:v>0.05</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0.5</c:v>
                </c:pt>
                <c:pt idx="271">
                  <c:v>0.5</c:v>
                </c:pt>
                <c:pt idx="272">
                  <c:v>1.25</c:v>
                </c:pt>
                <c:pt idx="273">
                  <c:v>1.25</c:v>
                </c:pt>
                <c:pt idx="274">
                  <c:v>2</c:v>
                </c:pt>
                <c:pt idx="275">
                  <c:v>2.5</c:v>
                </c:pt>
                <c:pt idx="276">
                  <c:v>2.5</c:v>
                </c:pt>
                <c:pt idx="277">
                  <c:v>3</c:v>
                </c:pt>
                <c:pt idx="278">
                  <c:v>3.5</c:v>
                </c:pt>
                <c:pt idx="279">
                  <c:v>3.5</c:v>
                </c:pt>
                <c:pt idx="280">
                  <c:v>3.75</c:v>
                </c:pt>
                <c:pt idx="281">
                  <c:v>4</c:v>
                </c:pt>
                <c:pt idx="282">
                  <c:v>4</c:v>
                </c:pt>
                <c:pt idx="283">
                  <c:v>4.25</c:v>
                </c:pt>
                <c:pt idx="284">
                  <c:v>4.5</c:v>
                </c:pt>
                <c:pt idx="285">
                  <c:v>4.5</c:v>
                </c:pt>
                <c:pt idx="286">
                  <c:v>4.5</c:v>
                </c:pt>
                <c:pt idx="287">
                  <c:v>4.5</c:v>
                </c:pt>
                <c:pt idx="288">
                  <c:v>4.5</c:v>
                </c:pt>
                <c:pt idx="289">
                  <c:v>4.5</c:v>
                </c:pt>
                <c:pt idx="290">
                  <c:v>4.5</c:v>
                </c:pt>
                <c:pt idx="291">
                  <c:v>4.5</c:v>
                </c:pt>
                <c:pt idx="292">
                  <c:v>4.5</c:v>
                </c:pt>
                <c:pt idx="293">
                  <c:v>4.25</c:v>
                </c:pt>
                <c:pt idx="294">
                  <c:v>4.25</c:v>
                </c:pt>
                <c:pt idx="295">
                  <c:v>4.25</c:v>
                </c:pt>
                <c:pt idx="296">
                  <c:v>3.65</c:v>
                </c:pt>
                <c:pt idx="297">
                  <c:v>3.4</c:v>
                </c:pt>
                <c:pt idx="298">
                  <c:v>3.4</c:v>
                </c:pt>
                <c:pt idx="299">
                  <c:v>3.15</c:v>
                </c:pt>
                <c:pt idx="300">
                  <c:v>3.15</c:v>
                </c:pt>
                <c:pt idx="301">
                  <c:v>2.9</c:v>
                </c:pt>
                <c:pt idx="302">
                  <c:v>2.65</c:v>
                </c:pt>
                <c:pt idx="303">
                  <c:v>2.4</c:v>
                </c:pt>
                <c:pt idx="304">
                  <c:v>2.4</c:v>
                </c:pt>
                <c:pt idx="305">
                  <c:v>2.15</c:v>
                </c:pt>
                <c:pt idx="306">
                  <c:v>2.15</c:v>
                </c:pt>
                <c:pt idx="307">
                  <c:v>2.15</c:v>
                </c:pt>
                <c:pt idx="308">
                  <c:v>2.15</c:v>
                </c:pt>
                <c:pt idx="309">
                  <c:v>2.15</c:v>
                </c:pt>
                <c:pt idx="310">
                  <c:v>2.15</c:v>
                </c:pt>
                <c:pt idx="311">
                  <c:v>2.15</c:v>
                </c:pt>
                <c:pt idx="312">
                  <c:v>2.15</c:v>
                </c:pt>
                <c:pt idx="313">
                  <c:v>2.15</c:v>
                </c:pt>
                <c:pt idx="314">
                  <c:v>2.15</c:v>
                </c:pt>
                <c:pt idx="315">
                  <c:v>2.15</c:v>
                </c:pt>
                <c:pt idx="316">
                  <c:v>2.15</c:v>
                </c:pt>
              </c:numCache>
            </c:numRef>
          </c:val>
          <c:smooth val="0"/>
          <c:extLst>
            <c:ext xmlns:c16="http://schemas.microsoft.com/office/drawing/2014/chart" uri="{C3380CC4-5D6E-409C-BE32-E72D297353CC}">
              <c16:uniqueId val="{00000001-8CE2-42AA-9A86-32784615D9B1}"/>
            </c:ext>
          </c:extLst>
        </c:ser>
        <c:ser>
          <c:idx val="2"/>
          <c:order val="2"/>
          <c:tx>
            <c:strRef>
              <c:f>policy!$D$1</c:f>
              <c:strCache>
                <c:ptCount val="1"/>
                <c:pt idx="0">
                  <c:v>Επιτόκιο διευκόλυνσης οριακής χρηματοδότησης</c:v>
                </c:pt>
              </c:strCache>
            </c:strRef>
          </c:tx>
          <c:spPr>
            <a:ln w="28575" cap="rnd">
              <a:solidFill>
                <a:schemeClr val="accent3"/>
              </a:solidFill>
              <a:round/>
            </a:ln>
            <a:effectLst/>
          </c:spPr>
          <c:marker>
            <c:symbol val="none"/>
          </c:marker>
          <c:cat>
            <c:numRef>
              <c:f>policy!$A$2:$A$318</c:f>
              <c:numCache>
                <c:formatCode>yyyy\-mm\-dd</c:formatCode>
                <c:ptCount val="317"/>
                <c:pt idx="0">
                  <c:v>36556</c:v>
                </c:pt>
                <c:pt idx="1">
                  <c:v>36585</c:v>
                </c:pt>
                <c:pt idx="2">
                  <c:v>36616</c:v>
                </c:pt>
                <c:pt idx="3">
                  <c:v>36646</c:v>
                </c:pt>
                <c:pt idx="4">
                  <c:v>36677</c:v>
                </c:pt>
                <c:pt idx="5">
                  <c:v>36707</c:v>
                </c:pt>
                <c:pt idx="6">
                  <c:v>36738</c:v>
                </c:pt>
                <c:pt idx="7">
                  <c:v>36769</c:v>
                </c:pt>
                <c:pt idx="8">
                  <c:v>36799</c:v>
                </c:pt>
                <c:pt idx="9">
                  <c:v>36830</c:v>
                </c:pt>
                <c:pt idx="10">
                  <c:v>36860</c:v>
                </c:pt>
                <c:pt idx="11">
                  <c:v>36891</c:v>
                </c:pt>
                <c:pt idx="12">
                  <c:v>36922</c:v>
                </c:pt>
                <c:pt idx="13">
                  <c:v>36950</c:v>
                </c:pt>
                <c:pt idx="14">
                  <c:v>36981</c:v>
                </c:pt>
                <c:pt idx="15">
                  <c:v>37011</c:v>
                </c:pt>
                <c:pt idx="16">
                  <c:v>37042</c:v>
                </c:pt>
                <c:pt idx="17">
                  <c:v>37072</c:v>
                </c:pt>
                <c:pt idx="18">
                  <c:v>37103</c:v>
                </c:pt>
                <c:pt idx="19">
                  <c:v>37134</c:v>
                </c:pt>
                <c:pt idx="20">
                  <c:v>37164</c:v>
                </c:pt>
                <c:pt idx="21">
                  <c:v>37195</c:v>
                </c:pt>
                <c:pt idx="22">
                  <c:v>37225</c:v>
                </c:pt>
                <c:pt idx="23">
                  <c:v>37256</c:v>
                </c:pt>
                <c:pt idx="24">
                  <c:v>37287</c:v>
                </c:pt>
                <c:pt idx="25">
                  <c:v>37315</c:v>
                </c:pt>
                <c:pt idx="26">
                  <c:v>37346</c:v>
                </c:pt>
                <c:pt idx="27">
                  <c:v>37376</c:v>
                </c:pt>
                <c:pt idx="28">
                  <c:v>37407</c:v>
                </c:pt>
                <c:pt idx="29">
                  <c:v>37437</c:v>
                </c:pt>
                <c:pt idx="30">
                  <c:v>37468</c:v>
                </c:pt>
                <c:pt idx="31">
                  <c:v>37499</c:v>
                </c:pt>
                <c:pt idx="32">
                  <c:v>37529</c:v>
                </c:pt>
                <c:pt idx="33">
                  <c:v>37560</c:v>
                </c:pt>
                <c:pt idx="34">
                  <c:v>37590</c:v>
                </c:pt>
                <c:pt idx="35">
                  <c:v>37621</c:v>
                </c:pt>
                <c:pt idx="36">
                  <c:v>37652</c:v>
                </c:pt>
                <c:pt idx="37">
                  <c:v>37680</c:v>
                </c:pt>
                <c:pt idx="38">
                  <c:v>37711</c:v>
                </c:pt>
                <c:pt idx="39">
                  <c:v>37741</c:v>
                </c:pt>
                <c:pt idx="40">
                  <c:v>37772</c:v>
                </c:pt>
                <c:pt idx="41">
                  <c:v>37802</c:v>
                </c:pt>
                <c:pt idx="42">
                  <c:v>37833</c:v>
                </c:pt>
                <c:pt idx="43">
                  <c:v>37864</c:v>
                </c:pt>
                <c:pt idx="44">
                  <c:v>37894</c:v>
                </c:pt>
                <c:pt idx="45">
                  <c:v>37925</c:v>
                </c:pt>
                <c:pt idx="46">
                  <c:v>37955</c:v>
                </c:pt>
                <c:pt idx="47">
                  <c:v>37986</c:v>
                </c:pt>
                <c:pt idx="48">
                  <c:v>38017</c:v>
                </c:pt>
                <c:pt idx="49">
                  <c:v>38046</c:v>
                </c:pt>
                <c:pt idx="50">
                  <c:v>38077</c:v>
                </c:pt>
                <c:pt idx="51">
                  <c:v>38107</c:v>
                </c:pt>
                <c:pt idx="52">
                  <c:v>38138</c:v>
                </c:pt>
                <c:pt idx="53">
                  <c:v>38168</c:v>
                </c:pt>
                <c:pt idx="54">
                  <c:v>38199</c:v>
                </c:pt>
                <c:pt idx="55">
                  <c:v>38230</c:v>
                </c:pt>
                <c:pt idx="56">
                  <c:v>38260</c:v>
                </c:pt>
                <c:pt idx="57">
                  <c:v>38291</c:v>
                </c:pt>
                <c:pt idx="58">
                  <c:v>38321</c:v>
                </c:pt>
                <c:pt idx="59">
                  <c:v>38352</c:v>
                </c:pt>
                <c:pt idx="60">
                  <c:v>38383</c:v>
                </c:pt>
                <c:pt idx="61">
                  <c:v>38411</c:v>
                </c:pt>
                <c:pt idx="62">
                  <c:v>38442</c:v>
                </c:pt>
                <c:pt idx="63">
                  <c:v>38472</c:v>
                </c:pt>
                <c:pt idx="64">
                  <c:v>38503</c:v>
                </c:pt>
                <c:pt idx="65">
                  <c:v>38533</c:v>
                </c:pt>
                <c:pt idx="66">
                  <c:v>38564</c:v>
                </c:pt>
                <c:pt idx="67">
                  <c:v>38595</c:v>
                </c:pt>
                <c:pt idx="68">
                  <c:v>38625</c:v>
                </c:pt>
                <c:pt idx="69">
                  <c:v>38656</c:v>
                </c:pt>
                <c:pt idx="70">
                  <c:v>38686</c:v>
                </c:pt>
                <c:pt idx="71">
                  <c:v>38717</c:v>
                </c:pt>
                <c:pt idx="72">
                  <c:v>38748</c:v>
                </c:pt>
                <c:pt idx="73">
                  <c:v>38776</c:v>
                </c:pt>
                <c:pt idx="74">
                  <c:v>38807</c:v>
                </c:pt>
                <c:pt idx="75">
                  <c:v>38837</c:v>
                </c:pt>
                <c:pt idx="76">
                  <c:v>38868</c:v>
                </c:pt>
                <c:pt idx="77">
                  <c:v>38898</c:v>
                </c:pt>
                <c:pt idx="78">
                  <c:v>38929</c:v>
                </c:pt>
                <c:pt idx="79">
                  <c:v>38960</c:v>
                </c:pt>
                <c:pt idx="80">
                  <c:v>38990</c:v>
                </c:pt>
                <c:pt idx="81">
                  <c:v>39021</c:v>
                </c:pt>
                <c:pt idx="82">
                  <c:v>39051</c:v>
                </c:pt>
                <c:pt idx="83">
                  <c:v>39082</c:v>
                </c:pt>
                <c:pt idx="84">
                  <c:v>39113</c:v>
                </c:pt>
                <c:pt idx="85">
                  <c:v>39141</c:v>
                </c:pt>
                <c:pt idx="86">
                  <c:v>39172</c:v>
                </c:pt>
                <c:pt idx="87">
                  <c:v>39202</c:v>
                </c:pt>
                <c:pt idx="88">
                  <c:v>39233</c:v>
                </c:pt>
                <c:pt idx="89">
                  <c:v>39263</c:v>
                </c:pt>
                <c:pt idx="90">
                  <c:v>39294</c:v>
                </c:pt>
                <c:pt idx="91">
                  <c:v>39325</c:v>
                </c:pt>
                <c:pt idx="92">
                  <c:v>39355</c:v>
                </c:pt>
                <c:pt idx="93">
                  <c:v>39386</c:v>
                </c:pt>
                <c:pt idx="94">
                  <c:v>39416</c:v>
                </c:pt>
                <c:pt idx="95">
                  <c:v>39447</c:v>
                </c:pt>
                <c:pt idx="96">
                  <c:v>39478</c:v>
                </c:pt>
                <c:pt idx="97">
                  <c:v>39507</c:v>
                </c:pt>
                <c:pt idx="98">
                  <c:v>39538</c:v>
                </c:pt>
                <c:pt idx="99">
                  <c:v>39568</c:v>
                </c:pt>
                <c:pt idx="100">
                  <c:v>39599</c:v>
                </c:pt>
                <c:pt idx="101">
                  <c:v>39629</c:v>
                </c:pt>
                <c:pt idx="102">
                  <c:v>39660</c:v>
                </c:pt>
                <c:pt idx="103">
                  <c:v>39691</c:v>
                </c:pt>
                <c:pt idx="104">
                  <c:v>39721</c:v>
                </c:pt>
                <c:pt idx="105">
                  <c:v>39752</c:v>
                </c:pt>
                <c:pt idx="106">
                  <c:v>39782</c:v>
                </c:pt>
                <c:pt idx="107">
                  <c:v>39813</c:v>
                </c:pt>
                <c:pt idx="108">
                  <c:v>39844</c:v>
                </c:pt>
                <c:pt idx="109">
                  <c:v>39872</c:v>
                </c:pt>
                <c:pt idx="110">
                  <c:v>39903</c:v>
                </c:pt>
                <c:pt idx="111">
                  <c:v>39933</c:v>
                </c:pt>
                <c:pt idx="112">
                  <c:v>39964</c:v>
                </c:pt>
                <c:pt idx="113">
                  <c:v>39994</c:v>
                </c:pt>
                <c:pt idx="114">
                  <c:v>40025</c:v>
                </c:pt>
                <c:pt idx="115">
                  <c:v>40056</c:v>
                </c:pt>
                <c:pt idx="116">
                  <c:v>40086</c:v>
                </c:pt>
                <c:pt idx="117">
                  <c:v>40117</c:v>
                </c:pt>
                <c:pt idx="118">
                  <c:v>40147</c:v>
                </c:pt>
                <c:pt idx="119">
                  <c:v>40178</c:v>
                </c:pt>
                <c:pt idx="120">
                  <c:v>40209</c:v>
                </c:pt>
                <c:pt idx="121">
                  <c:v>40237</c:v>
                </c:pt>
                <c:pt idx="122">
                  <c:v>40268</c:v>
                </c:pt>
                <c:pt idx="123">
                  <c:v>40298</c:v>
                </c:pt>
                <c:pt idx="124">
                  <c:v>40329</c:v>
                </c:pt>
                <c:pt idx="125">
                  <c:v>40359</c:v>
                </c:pt>
                <c:pt idx="126">
                  <c:v>40390</c:v>
                </c:pt>
                <c:pt idx="127">
                  <c:v>40421</c:v>
                </c:pt>
                <c:pt idx="128">
                  <c:v>40451</c:v>
                </c:pt>
                <c:pt idx="129">
                  <c:v>40482</c:v>
                </c:pt>
                <c:pt idx="130">
                  <c:v>40512</c:v>
                </c:pt>
                <c:pt idx="131">
                  <c:v>40543</c:v>
                </c:pt>
                <c:pt idx="132">
                  <c:v>40574</c:v>
                </c:pt>
                <c:pt idx="133">
                  <c:v>40602</c:v>
                </c:pt>
                <c:pt idx="134">
                  <c:v>40633</c:v>
                </c:pt>
                <c:pt idx="135">
                  <c:v>40663</c:v>
                </c:pt>
                <c:pt idx="136">
                  <c:v>40694</c:v>
                </c:pt>
                <c:pt idx="137">
                  <c:v>40724</c:v>
                </c:pt>
                <c:pt idx="138">
                  <c:v>40755</c:v>
                </c:pt>
                <c:pt idx="139">
                  <c:v>40786</c:v>
                </c:pt>
                <c:pt idx="140">
                  <c:v>40816</c:v>
                </c:pt>
                <c:pt idx="141">
                  <c:v>40847</c:v>
                </c:pt>
                <c:pt idx="142">
                  <c:v>40877</c:v>
                </c:pt>
                <c:pt idx="143">
                  <c:v>40908</c:v>
                </c:pt>
                <c:pt idx="144">
                  <c:v>40939</c:v>
                </c:pt>
                <c:pt idx="145">
                  <c:v>40968</c:v>
                </c:pt>
                <c:pt idx="146">
                  <c:v>40999</c:v>
                </c:pt>
                <c:pt idx="147">
                  <c:v>41029</c:v>
                </c:pt>
                <c:pt idx="148">
                  <c:v>41060</c:v>
                </c:pt>
                <c:pt idx="149">
                  <c:v>41090</c:v>
                </c:pt>
                <c:pt idx="150">
                  <c:v>41121</c:v>
                </c:pt>
                <c:pt idx="151">
                  <c:v>41152</c:v>
                </c:pt>
                <c:pt idx="152">
                  <c:v>41182</c:v>
                </c:pt>
                <c:pt idx="153">
                  <c:v>41213</c:v>
                </c:pt>
                <c:pt idx="154">
                  <c:v>41243</c:v>
                </c:pt>
                <c:pt idx="155">
                  <c:v>41274</c:v>
                </c:pt>
                <c:pt idx="156">
                  <c:v>41305</c:v>
                </c:pt>
                <c:pt idx="157">
                  <c:v>41333</c:v>
                </c:pt>
                <c:pt idx="158">
                  <c:v>41364</c:v>
                </c:pt>
                <c:pt idx="159">
                  <c:v>41394</c:v>
                </c:pt>
                <c:pt idx="160">
                  <c:v>41425</c:v>
                </c:pt>
                <c:pt idx="161">
                  <c:v>41455</c:v>
                </c:pt>
                <c:pt idx="162">
                  <c:v>41486</c:v>
                </c:pt>
                <c:pt idx="163">
                  <c:v>41517</c:v>
                </c:pt>
                <c:pt idx="164">
                  <c:v>41547</c:v>
                </c:pt>
                <c:pt idx="165">
                  <c:v>41578</c:v>
                </c:pt>
                <c:pt idx="166">
                  <c:v>41608</c:v>
                </c:pt>
                <c:pt idx="167">
                  <c:v>41639</c:v>
                </c:pt>
                <c:pt idx="168">
                  <c:v>41670</c:v>
                </c:pt>
                <c:pt idx="169">
                  <c:v>41698</c:v>
                </c:pt>
                <c:pt idx="170">
                  <c:v>41729</c:v>
                </c:pt>
                <c:pt idx="171">
                  <c:v>41759</c:v>
                </c:pt>
                <c:pt idx="172">
                  <c:v>41790</c:v>
                </c:pt>
                <c:pt idx="173">
                  <c:v>41820</c:v>
                </c:pt>
                <c:pt idx="174">
                  <c:v>41851</c:v>
                </c:pt>
                <c:pt idx="175">
                  <c:v>41882</c:v>
                </c:pt>
                <c:pt idx="176">
                  <c:v>41912</c:v>
                </c:pt>
                <c:pt idx="177">
                  <c:v>41943</c:v>
                </c:pt>
                <c:pt idx="178">
                  <c:v>41973</c:v>
                </c:pt>
                <c:pt idx="179">
                  <c:v>42004</c:v>
                </c:pt>
                <c:pt idx="180">
                  <c:v>42035</c:v>
                </c:pt>
                <c:pt idx="181">
                  <c:v>42063</c:v>
                </c:pt>
                <c:pt idx="182">
                  <c:v>42094</c:v>
                </c:pt>
                <c:pt idx="183">
                  <c:v>42124</c:v>
                </c:pt>
                <c:pt idx="184">
                  <c:v>42155</c:v>
                </c:pt>
                <c:pt idx="185">
                  <c:v>42185</c:v>
                </c:pt>
                <c:pt idx="186">
                  <c:v>42216</c:v>
                </c:pt>
                <c:pt idx="187">
                  <c:v>42247</c:v>
                </c:pt>
                <c:pt idx="188">
                  <c:v>42277</c:v>
                </c:pt>
                <c:pt idx="189">
                  <c:v>42308</c:v>
                </c:pt>
                <c:pt idx="190">
                  <c:v>42338</c:v>
                </c:pt>
                <c:pt idx="191">
                  <c:v>42369</c:v>
                </c:pt>
                <c:pt idx="192">
                  <c:v>42400</c:v>
                </c:pt>
                <c:pt idx="193">
                  <c:v>42429</c:v>
                </c:pt>
                <c:pt idx="194">
                  <c:v>42460</c:v>
                </c:pt>
                <c:pt idx="195">
                  <c:v>42490</c:v>
                </c:pt>
                <c:pt idx="196">
                  <c:v>42521</c:v>
                </c:pt>
                <c:pt idx="197">
                  <c:v>42551</c:v>
                </c:pt>
                <c:pt idx="198">
                  <c:v>42582</c:v>
                </c:pt>
                <c:pt idx="199">
                  <c:v>42613</c:v>
                </c:pt>
                <c:pt idx="200">
                  <c:v>42643</c:v>
                </c:pt>
                <c:pt idx="201">
                  <c:v>42674</c:v>
                </c:pt>
                <c:pt idx="202">
                  <c:v>42704</c:v>
                </c:pt>
                <c:pt idx="203">
                  <c:v>42735</c:v>
                </c:pt>
                <c:pt idx="204">
                  <c:v>42766</c:v>
                </c:pt>
                <c:pt idx="205">
                  <c:v>42794</c:v>
                </c:pt>
                <c:pt idx="206">
                  <c:v>42825</c:v>
                </c:pt>
                <c:pt idx="207">
                  <c:v>42855</c:v>
                </c:pt>
                <c:pt idx="208">
                  <c:v>42886</c:v>
                </c:pt>
                <c:pt idx="209">
                  <c:v>42916</c:v>
                </c:pt>
                <c:pt idx="210">
                  <c:v>42947</c:v>
                </c:pt>
                <c:pt idx="211">
                  <c:v>42978</c:v>
                </c:pt>
                <c:pt idx="212">
                  <c:v>43008</c:v>
                </c:pt>
                <c:pt idx="213">
                  <c:v>43039</c:v>
                </c:pt>
                <c:pt idx="214">
                  <c:v>43069</c:v>
                </c:pt>
                <c:pt idx="215">
                  <c:v>43100</c:v>
                </c:pt>
                <c:pt idx="216">
                  <c:v>43131</c:v>
                </c:pt>
                <c:pt idx="217">
                  <c:v>43159</c:v>
                </c:pt>
                <c:pt idx="218">
                  <c:v>43190</c:v>
                </c:pt>
                <c:pt idx="219">
                  <c:v>43220</c:v>
                </c:pt>
                <c:pt idx="220">
                  <c:v>43251</c:v>
                </c:pt>
                <c:pt idx="221">
                  <c:v>43281</c:v>
                </c:pt>
                <c:pt idx="222">
                  <c:v>43312</c:v>
                </c:pt>
                <c:pt idx="223">
                  <c:v>43343</c:v>
                </c:pt>
                <c:pt idx="224">
                  <c:v>43373</c:v>
                </c:pt>
                <c:pt idx="225">
                  <c:v>43404</c:v>
                </c:pt>
                <c:pt idx="226">
                  <c:v>43434</c:v>
                </c:pt>
                <c:pt idx="227">
                  <c:v>43465</c:v>
                </c:pt>
                <c:pt idx="228">
                  <c:v>43496</c:v>
                </c:pt>
                <c:pt idx="229">
                  <c:v>43524</c:v>
                </c:pt>
                <c:pt idx="230">
                  <c:v>43555</c:v>
                </c:pt>
                <c:pt idx="231">
                  <c:v>43585</c:v>
                </c:pt>
                <c:pt idx="232">
                  <c:v>43616</c:v>
                </c:pt>
                <c:pt idx="233">
                  <c:v>43646</c:v>
                </c:pt>
                <c:pt idx="234">
                  <c:v>43677</c:v>
                </c:pt>
                <c:pt idx="235">
                  <c:v>43708</c:v>
                </c:pt>
                <c:pt idx="236">
                  <c:v>43738</c:v>
                </c:pt>
                <c:pt idx="237">
                  <c:v>43769</c:v>
                </c:pt>
                <c:pt idx="238">
                  <c:v>43799</c:v>
                </c:pt>
                <c:pt idx="239">
                  <c:v>43830</c:v>
                </c:pt>
                <c:pt idx="240">
                  <c:v>43861</c:v>
                </c:pt>
                <c:pt idx="241">
                  <c:v>43890</c:v>
                </c:pt>
                <c:pt idx="242">
                  <c:v>43921</c:v>
                </c:pt>
                <c:pt idx="243">
                  <c:v>43951</c:v>
                </c:pt>
                <c:pt idx="244">
                  <c:v>43982</c:v>
                </c:pt>
                <c:pt idx="245">
                  <c:v>44012</c:v>
                </c:pt>
                <c:pt idx="246">
                  <c:v>44043</c:v>
                </c:pt>
                <c:pt idx="247">
                  <c:v>44074</c:v>
                </c:pt>
                <c:pt idx="248">
                  <c:v>44104</c:v>
                </c:pt>
                <c:pt idx="249">
                  <c:v>44135</c:v>
                </c:pt>
                <c:pt idx="250">
                  <c:v>44165</c:v>
                </c:pt>
                <c:pt idx="251">
                  <c:v>44196</c:v>
                </c:pt>
                <c:pt idx="252">
                  <c:v>44227</c:v>
                </c:pt>
                <c:pt idx="253">
                  <c:v>44255</c:v>
                </c:pt>
                <c:pt idx="254">
                  <c:v>44286</c:v>
                </c:pt>
                <c:pt idx="255">
                  <c:v>44316</c:v>
                </c:pt>
                <c:pt idx="256">
                  <c:v>44347</c:v>
                </c:pt>
                <c:pt idx="257">
                  <c:v>44377</c:v>
                </c:pt>
                <c:pt idx="258">
                  <c:v>44408</c:v>
                </c:pt>
                <c:pt idx="259">
                  <c:v>44439</c:v>
                </c:pt>
                <c:pt idx="260">
                  <c:v>44469</c:v>
                </c:pt>
                <c:pt idx="261">
                  <c:v>44500</c:v>
                </c:pt>
                <c:pt idx="262">
                  <c:v>44530</c:v>
                </c:pt>
                <c:pt idx="263">
                  <c:v>44561</c:v>
                </c:pt>
                <c:pt idx="264">
                  <c:v>44592</c:v>
                </c:pt>
                <c:pt idx="265">
                  <c:v>44620</c:v>
                </c:pt>
                <c:pt idx="266">
                  <c:v>44651</c:v>
                </c:pt>
                <c:pt idx="267">
                  <c:v>44681</c:v>
                </c:pt>
                <c:pt idx="268">
                  <c:v>44712</c:v>
                </c:pt>
                <c:pt idx="269">
                  <c:v>44742</c:v>
                </c:pt>
                <c:pt idx="270">
                  <c:v>44773</c:v>
                </c:pt>
                <c:pt idx="271">
                  <c:v>44804</c:v>
                </c:pt>
                <c:pt idx="272">
                  <c:v>44834</c:v>
                </c:pt>
                <c:pt idx="273">
                  <c:v>44865</c:v>
                </c:pt>
                <c:pt idx="274">
                  <c:v>44895</c:v>
                </c:pt>
                <c:pt idx="275">
                  <c:v>44926</c:v>
                </c:pt>
                <c:pt idx="276">
                  <c:v>44957</c:v>
                </c:pt>
                <c:pt idx="277">
                  <c:v>44985</c:v>
                </c:pt>
                <c:pt idx="278">
                  <c:v>45016</c:v>
                </c:pt>
                <c:pt idx="279">
                  <c:v>45046</c:v>
                </c:pt>
                <c:pt idx="280">
                  <c:v>45077</c:v>
                </c:pt>
                <c:pt idx="281">
                  <c:v>45107</c:v>
                </c:pt>
                <c:pt idx="282">
                  <c:v>45138</c:v>
                </c:pt>
                <c:pt idx="283">
                  <c:v>45169</c:v>
                </c:pt>
                <c:pt idx="284">
                  <c:v>45199</c:v>
                </c:pt>
                <c:pt idx="285">
                  <c:v>45230</c:v>
                </c:pt>
                <c:pt idx="286">
                  <c:v>45260</c:v>
                </c:pt>
                <c:pt idx="287">
                  <c:v>45291</c:v>
                </c:pt>
                <c:pt idx="288">
                  <c:v>45322</c:v>
                </c:pt>
                <c:pt idx="289">
                  <c:v>45351</c:v>
                </c:pt>
                <c:pt idx="290">
                  <c:v>45382</c:v>
                </c:pt>
                <c:pt idx="291">
                  <c:v>45412</c:v>
                </c:pt>
                <c:pt idx="292">
                  <c:v>45443</c:v>
                </c:pt>
                <c:pt idx="293">
                  <c:v>45473</c:v>
                </c:pt>
                <c:pt idx="294">
                  <c:v>45504</c:v>
                </c:pt>
                <c:pt idx="295">
                  <c:v>45535</c:v>
                </c:pt>
                <c:pt idx="296">
                  <c:v>45565</c:v>
                </c:pt>
                <c:pt idx="297">
                  <c:v>45596</c:v>
                </c:pt>
                <c:pt idx="298">
                  <c:v>45626</c:v>
                </c:pt>
                <c:pt idx="299">
                  <c:v>45657</c:v>
                </c:pt>
                <c:pt idx="300">
                  <c:v>45688</c:v>
                </c:pt>
                <c:pt idx="301">
                  <c:v>45716</c:v>
                </c:pt>
                <c:pt idx="302">
                  <c:v>45747</c:v>
                </c:pt>
                <c:pt idx="303">
                  <c:v>45777</c:v>
                </c:pt>
                <c:pt idx="304">
                  <c:v>45808</c:v>
                </c:pt>
                <c:pt idx="305">
                  <c:v>45838</c:v>
                </c:pt>
                <c:pt idx="306">
                  <c:v>45869</c:v>
                </c:pt>
                <c:pt idx="307">
                  <c:v>45900</c:v>
                </c:pt>
                <c:pt idx="308">
                  <c:v>45930</c:v>
                </c:pt>
                <c:pt idx="309">
                  <c:v>45961</c:v>
                </c:pt>
                <c:pt idx="310">
                  <c:v>45991</c:v>
                </c:pt>
                <c:pt idx="311">
                  <c:v>46022</c:v>
                </c:pt>
                <c:pt idx="312">
                  <c:v>46053</c:v>
                </c:pt>
                <c:pt idx="313">
                  <c:v>46081</c:v>
                </c:pt>
                <c:pt idx="314">
                  <c:v>46112</c:v>
                </c:pt>
                <c:pt idx="315">
                  <c:v>46142</c:v>
                </c:pt>
                <c:pt idx="316">
                  <c:v>46173</c:v>
                </c:pt>
              </c:numCache>
            </c:numRef>
          </c:cat>
          <c:val>
            <c:numRef>
              <c:f>policy!$D$2:$D$318</c:f>
              <c:numCache>
                <c:formatCode>0.00</c:formatCode>
                <c:ptCount val="317"/>
                <c:pt idx="0">
                  <c:v>4</c:v>
                </c:pt>
                <c:pt idx="1">
                  <c:v>4.25</c:v>
                </c:pt>
                <c:pt idx="2">
                  <c:v>4.5</c:v>
                </c:pt>
                <c:pt idx="3">
                  <c:v>4.75</c:v>
                </c:pt>
                <c:pt idx="4">
                  <c:v>4.75</c:v>
                </c:pt>
                <c:pt idx="5">
                  <c:v>5.25</c:v>
                </c:pt>
                <c:pt idx="6">
                  <c:v>5.25</c:v>
                </c:pt>
                <c:pt idx="7">
                  <c:v>5.25</c:v>
                </c:pt>
                <c:pt idx="8">
                  <c:v>5.5</c:v>
                </c:pt>
                <c:pt idx="9">
                  <c:v>5.75</c:v>
                </c:pt>
                <c:pt idx="10">
                  <c:v>5.75</c:v>
                </c:pt>
                <c:pt idx="11">
                  <c:v>5.75</c:v>
                </c:pt>
                <c:pt idx="12">
                  <c:v>5.75</c:v>
                </c:pt>
                <c:pt idx="13">
                  <c:v>5.75</c:v>
                </c:pt>
                <c:pt idx="14">
                  <c:v>5.75</c:v>
                </c:pt>
                <c:pt idx="15">
                  <c:v>5.75</c:v>
                </c:pt>
                <c:pt idx="16">
                  <c:v>5.5</c:v>
                </c:pt>
                <c:pt idx="17">
                  <c:v>5.5</c:v>
                </c:pt>
                <c:pt idx="18">
                  <c:v>5.5</c:v>
                </c:pt>
                <c:pt idx="19">
                  <c:v>5.25</c:v>
                </c:pt>
                <c:pt idx="20">
                  <c:v>4.75</c:v>
                </c:pt>
                <c:pt idx="21">
                  <c:v>4.75</c:v>
                </c:pt>
                <c:pt idx="22">
                  <c:v>4.25</c:v>
                </c:pt>
                <c:pt idx="23">
                  <c:v>4.25</c:v>
                </c:pt>
                <c:pt idx="24">
                  <c:v>4.25</c:v>
                </c:pt>
                <c:pt idx="25">
                  <c:v>4.25</c:v>
                </c:pt>
                <c:pt idx="26">
                  <c:v>4.25</c:v>
                </c:pt>
                <c:pt idx="27">
                  <c:v>4.25</c:v>
                </c:pt>
                <c:pt idx="28">
                  <c:v>4.25</c:v>
                </c:pt>
                <c:pt idx="29">
                  <c:v>4.25</c:v>
                </c:pt>
                <c:pt idx="30">
                  <c:v>4.25</c:v>
                </c:pt>
                <c:pt idx="31">
                  <c:v>4.25</c:v>
                </c:pt>
                <c:pt idx="32">
                  <c:v>4.25</c:v>
                </c:pt>
                <c:pt idx="33">
                  <c:v>4.25</c:v>
                </c:pt>
                <c:pt idx="34">
                  <c:v>4.25</c:v>
                </c:pt>
                <c:pt idx="35">
                  <c:v>3.75</c:v>
                </c:pt>
                <c:pt idx="36">
                  <c:v>3.75</c:v>
                </c:pt>
                <c:pt idx="37">
                  <c:v>3.75</c:v>
                </c:pt>
                <c:pt idx="38">
                  <c:v>3.5</c:v>
                </c:pt>
                <c:pt idx="39">
                  <c:v>3.5</c:v>
                </c:pt>
                <c:pt idx="40">
                  <c:v>3.5</c:v>
                </c:pt>
                <c:pt idx="41">
                  <c:v>3</c:v>
                </c:pt>
                <c:pt idx="42">
                  <c:v>3</c:v>
                </c:pt>
                <c:pt idx="43">
                  <c:v>3</c:v>
                </c:pt>
                <c:pt idx="44">
                  <c:v>3</c:v>
                </c:pt>
                <c:pt idx="45">
                  <c:v>3</c:v>
                </c:pt>
                <c:pt idx="46">
                  <c:v>3</c:v>
                </c:pt>
                <c:pt idx="47">
                  <c:v>3</c:v>
                </c:pt>
                <c:pt idx="48">
                  <c:v>3</c:v>
                </c:pt>
                <c:pt idx="49">
                  <c:v>3</c:v>
                </c:pt>
                <c:pt idx="50">
                  <c:v>3</c:v>
                </c:pt>
                <c:pt idx="51">
                  <c:v>3</c:v>
                </c:pt>
                <c:pt idx="52">
                  <c:v>3</c:v>
                </c:pt>
                <c:pt idx="53">
                  <c:v>3</c:v>
                </c:pt>
                <c:pt idx="54">
                  <c:v>3</c:v>
                </c:pt>
                <c:pt idx="55">
                  <c:v>3</c:v>
                </c:pt>
                <c:pt idx="56">
                  <c:v>3</c:v>
                </c:pt>
                <c:pt idx="57">
                  <c:v>3</c:v>
                </c:pt>
                <c:pt idx="58">
                  <c:v>3</c:v>
                </c:pt>
                <c:pt idx="59">
                  <c:v>3</c:v>
                </c:pt>
                <c:pt idx="60">
                  <c:v>3</c:v>
                </c:pt>
                <c:pt idx="61">
                  <c:v>3</c:v>
                </c:pt>
                <c:pt idx="62">
                  <c:v>3</c:v>
                </c:pt>
                <c:pt idx="63">
                  <c:v>3</c:v>
                </c:pt>
                <c:pt idx="64">
                  <c:v>3</c:v>
                </c:pt>
                <c:pt idx="65">
                  <c:v>3</c:v>
                </c:pt>
                <c:pt idx="66">
                  <c:v>3</c:v>
                </c:pt>
                <c:pt idx="67">
                  <c:v>3</c:v>
                </c:pt>
                <c:pt idx="68">
                  <c:v>3</c:v>
                </c:pt>
                <c:pt idx="69">
                  <c:v>3</c:v>
                </c:pt>
                <c:pt idx="70">
                  <c:v>3</c:v>
                </c:pt>
                <c:pt idx="71">
                  <c:v>3.25</c:v>
                </c:pt>
                <c:pt idx="72">
                  <c:v>3.25</c:v>
                </c:pt>
                <c:pt idx="73">
                  <c:v>3.25</c:v>
                </c:pt>
                <c:pt idx="74">
                  <c:v>3.5</c:v>
                </c:pt>
                <c:pt idx="75">
                  <c:v>3.5</c:v>
                </c:pt>
                <c:pt idx="76">
                  <c:v>3.5</c:v>
                </c:pt>
                <c:pt idx="77">
                  <c:v>3.75</c:v>
                </c:pt>
                <c:pt idx="78">
                  <c:v>3.75</c:v>
                </c:pt>
                <c:pt idx="79">
                  <c:v>4</c:v>
                </c:pt>
                <c:pt idx="80">
                  <c:v>4</c:v>
                </c:pt>
                <c:pt idx="81">
                  <c:v>4.25</c:v>
                </c:pt>
                <c:pt idx="82">
                  <c:v>4.25</c:v>
                </c:pt>
                <c:pt idx="83">
                  <c:v>4.5</c:v>
                </c:pt>
                <c:pt idx="84">
                  <c:v>4.5</c:v>
                </c:pt>
                <c:pt idx="85">
                  <c:v>4.5</c:v>
                </c:pt>
                <c:pt idx="86">
                  <c:v>4.75</c:v>
                </c:pt>
                <c:pt idx="87">
                  <c:v>4.75</c:v>
                </c:pt>
                <c:pt idx="88">
                  <c:v>4.75</c:v>
                </c:pt>
                <c:pt idx="89">
                  <c:v>5</c:v>
                </c:pt>
                <c:pt idx="90">
                  <c:v>5</c:v>
                </c:pt>
                <c:pt idx="91">
                  <c:v>5</c:v>
                </c:pt>
                <c:pt idx="92">
                  <c:v>5</c:v>
                </c:pt>
                <c:pt idx="93">
                  <c:v>5</c:v>
                </c:pt>
                <c:pt idx="94">
                  <c:v>5</c:v>
                </c:pt>
                <c:pt idx="95">
                  <c:v>5</c:v>
                </c:pt>
                <c:pt idx="96">
                  <c:v>5</c:v>
                </c:pt>
                <c:pt idx="97">
                  <c:v>5</c:v>
                </c:pt>
                <c:pt idx="98">
                  <c:v>5</c:v>
                </c:pt>
                <c:pt idx="99">
                  <c:v>5</c:v>
                </c:pt>
                <c:pt idx="100">
                  <c:v>5</c:v>
                </c:pt>
                <c:pt idx="101">
                  <c:v>5</c:v>
                </c:pt>
                <c:pt idx="102">
                  <c:v>5.25</c:v>
                </c:pt>
                <c:pt idx="103">
                  <c:v>5.25</c:v>
                </c:pt>
                <c:pt idx="104">
                  <c:v>5.25</c:v>
                </c:pt>
                <c:pt idx="105">
                  <c:v>4.25</c:v>
                </c:pt>
                <c:pt idx="106">
                  <c:v>3.75</c:v>
                </c:pt>
                <c:pt idx="107">
                  <c:v>3</c:v>
                </c:pt>
                <c:pt idx="108">
                  <c:v>3</c:v>
                </c:pt>
                <c:pt idx="109">
                  <c:v>3</c:v>
                </c:pt>
                <c:pt idx="110">
                  <c:v>2.5</c:v>
                </c:pt>
                <c:pt idx="111">
                  <c:v>2.25</c:v>
                </c:pt>
                <c:pt idx="112">
                  <c:v>1.75</c:v>
                </c:pt>
                <c:pt idx="113">
                  <c:v>1.75</c:v>
                </c:pt>
                <c:pt idx="114">
                  <c:v>1.75</c:v>
                </c:pt>
                <c:pt idx="115">
                  <c:v>1.75</c:v>
                </c:pt>
                <c:pt idx="116">
                  <c:v>1.75</c:v>
                </c:pt>
                <c:pt idx="117">
                  <c:v>1.75</c:v>
                </c:pt>
                <c:pt idx="118">
                  <c:v>1.75</c:v>
                </c:pt>
                <c:pt idx="119">
                  <c:v>1.75</c:v>
                </c:pt>
                <c:pt idx="120">
                  <c:v>1.75</c:v>
                </c:pt>
                <c:pt idx="121">
                  <c:v>1.75</c:v>
                </c:pt>
                <c:pt idx="122">
                  <c:v>1.75</c:v>
                </c:pt>
                <c:pt idx="123">
                  <c:v>1.75</c:v>
                </c:pt>
                <c:pt idx="124">
                  <c:v>1.75</c:v>
                </c:pt>
                <c:pt idx="125">
                  <c:v>1.75</c:v>
                </c:pt>
                <c:pt idx="126">
                  <c:v>1.75</c:v>
                </c:pt>
                <c:pt idx="127">
                  <c:v>1.75</c:v>
                </c:pt>
                <c:pt idx="128">
                  <c:v>1.75</c:v>
                </c:pt>
                <c:pt idx="129">
                  <c:v>1.75</c:v>
                </c:pt>
                <c:pt idx="130">
                  <c:v>1.75</c:v>
                </c:pt>
                <c:pt idx="131">
                  <c:v>1.75</c:v>
                </c:pt>
                <c:pt idx="132">
                  <c:v>1.75</c:v>
                </c:pt>
                <c:pt idx="133">
                  <c:v>1.75</c:v>
                </c:pt>
                <c:pt idx="134">
                  <c:v>1.75</c:v>
                </c:pt>
                <c:pt idx="135">
                  <c:v>2</c:v>
                </c:pt>
                <c:pt idx="136">
                  <c:v>2</c:v>
                </c:pt>
                <c:pt idx="137">
                  <c:v>2</c:v>
                </c:pt>
                <c:pt idx="138">
                  <c:v>2.25</c:v>
                </c:pt>
                <c:pt idx="139">
                  <c:v>2.25</c:v>
                </c:pt>
                <c:pt idx="140">
                  <c:v>2.25</c:v>
                </c:pt>
                <c:pt idx="141">
                  <c:v>2.25</c:v>
                </c:pt>
                <c:pt idx="142">
                  <c:v>2</c:v>
                </c:pt>
                <c:pt idx="143">
                  <c:v>1.75</c:v>
                </c:pt>
                <c:pt idx="144">
                  <c:v>1.75</c:v>
                </c:pt>
                <c:pt idx="145">
                  <c:v>1.75</c:v>
                </c:pt>
                <c:pt idx="146">
                  <c:v>1.75</c:v>
                </c:pt>
                <c:pt idx="147">
                  <c:v>1.75</c:v>
                </c:pt>
                <c:pt idx="148">
                  <c:v>1.75</c:v>
                </c:pt>
                <c:pt idx="149">
                  <c:v>1.75</c:v>
                </c:pt>
                <c:pt idx="150">
                  <c:v>1.5</c:v>
                </c:pt>
                <c:pt idx="151">
                  <c:v>1.5</c:v>
                </c:pt>
                <c:pt idx="152">
                  <c:v>1.5</c:v>
                </c:pt>
                <c:pt idx="153">
                  <c:v>1.5</c:v>
                </c:pt>
                <c:pt idx="154">
                  <c:v>1.5</c:v>
                </c:pt>
                <c:pt idx="155">
                  <c:v>1.5</c:v>
                </c:pt>
                <c:pt idx="156">
                  <c:v>1.5</c:v>
                </c:pt>
                <c:pt idx="157">
                  <c:v>1.5</c:v>
                </c:pt>
                <c:pt idx="158">
                  <c:v>1.5</c:v>
                </c:pt>
                <c:pt idx="159">
                  <c:v>1.5</c:v>
                </c:pt>
                <c:pt idx="160">
                  <c:v>1</c:v>
                </c:pt>
                <c:pt idx="161">
                  <c:v>1</c:v>
                </c:pt>
                <c:pt idx="162">
                  <c:v>1</c:v>
                </c:pt>
                <c:pt idx="163">
                  <c:v>1</c:v>
                </c:pt>
                <c:pt idx="164">
                  <c:v>1</c:v>
                </c:pt>
                <c:pt idx="165">
                  <c:v>1</c:v>
                </c:pt>
                <c:pt idx="166">
                  <c:v>0.75</c:v>
                </c:pt>
                <c:pt idx="167">
                  <c:v>0.75</c:v>
                </c:pt>
                <c:pt idx="168">
                  <c:v>0.75</c:v>
                </c:pt>
                <c:pt idx="169">
                  <c:v>0.75</c:v>
                </c:pt>
                <c:pt idx="170">
                  <c:v>0.75</c:v>
                </c:pt>
                <c:pt idx="171">
                  <c:v>0.75</c:v>
                </c:pt>
                <c:pt idx="172">
                  <c:v>0.75</c:v>
                </c:pt>
                <c:pt idx="173">
                  <c:v>0.4</c:v>
                </c:pt>
                <c:pt idx="174">
                  <c:v>0.4</c:v>
                </c:pt>
                <c:pt idx="175">
                  <c:v>0.4</c:v>
                </c:pt>
                <c:pt idx="176">
                  <c:v>0.3</c:v>
                </c:pt>
                <c:pt idx="177">
                  <c:v>0.3</c:v>
                </c:pt>
                <c:pt idx="178">
                  <c:v>0.3</c:v>
                </c:pt>
                <c:pt idx="179">
                  <c:v>0.3</c:v>
                </c:pt>
                <c:pt idx="180">
                  <c:v>0.3</c:v>
                </c:pt>
                <c:pt idx="181">
                  <c:v>0.3</c:v>
                </c:pt>
                <c:pt idx="182">
                  <c:v>0.3</c:v>
                </c:pt>
                <c:pt idx="183">
                  <c:v>0.3</c:v>
                </c:pt>
                <c:pt idx="184">
                  <c:v>0.3</c:v>
                </c:pt>
                <c:pt idx="185">
                  <c:v>0.3</c:v>
                </c:pt>
                <c:pt idx="186">
                  <c:v>0.3</c:v>
                </c:pt>
                <c:pt idx="187">
                  <c:v>0.3</c:v>
                </c:pt>
                <c:pt idx="188">
                  <c:v>0.3</c:v>
                </c:pt>
                <c:pt idx="189">
                  <c:v>0.3</c:v>
                </c:pt>
                <c:pt idx="190">
                  <c:v>0.3</c:v>
                </c:pt>
                <c:pt idx="191">
                  <c:v>0.3</c:v>
                </c:pt>
                <c:pt idx="192">
                  <c:v>0.3</c:v>
                </c:pt>
                <c:pt idx="193">
                  <c:v>0.3</c:v>
                </c:pt>
                <c:pt idx="194">
                  <c:v>0.25</c:v>
                </c:pt>
                <c:pt idx="195">
                  <c:v>0.25</c:v>
                </c:pt>
                <c:pt idx="196">
                  <c:v>0.25</c:v>
                </c:pt>
                <c:pt idx="197">
                  <c:v>0.25</c:v>
                </c:pt>
                <c:pt idx="198">
                  <c:v>0.25</c:v>
                </c:pt>
                <c:pt idx="199">
                  <c:v>0.25</c:v>
                </c:pt>
                <c:pt idx="200">
                  <c:v>0.25</c:v>
                </c:pt>
                <c:pt idx="201">
                  <c:v>0.25</c:v>
                </c:pt>
                <c:pt idx="202">
                  <c:v>0.25</c:v>
                </c:pt>
                <c:pt idx="203">
                  <c:v>0.25</c:v>
                </c:pt>
                <c:pt idx="204">
                  <c:v>0.25</c:v>
                </c:pt>
                <c:pt idx="205">
                  <c:v>0.25</c:v>
                </c:pt>
                <c:pt idx="206">
                  <c:v>0.25</c:v>
                </c:pt>
                <c:pt idx="207">
                  <c:v>0.25</c:v>
                </c:pt>
                <c:pt idx="208">
                  <c:v>0.25</c:v>
                </c:pt>
                <c:pt idx="209">
                  <c:v>0.25</c:v>
                </c:pt>
                <c:pt idx="210">
                  <c:v>0.25</c:v>
                </c:pt>
                <c:pt idx="211">
                  <c:v>0.25</c:v>
                </c:pt>
                <c:pt idx="212">
                  <c:v>0.25</c:v>
                </c:pt>
                <c:pt idx="213">
                  <c:v>0.25</c:v>
                </c:pt>
                <c:pt idx="214">
                  <c:v>0.25</c:v>
                </c:pt>
                <c:pt idx="215">
                  <c:v>0.25</c:v>
                </c:pt>
                <c:pt idx="216">
                  <c:v>0.25</c:v>
                </c:pt>
                <c:pt idx="217">
                  <c:v>0.25</c:v>
                </c:pt>
                <c:pt idx="218">
                  <c:v>0.25</c:v>
                </c:pt>
                <c:pt idx="219">
                  <c:v>0.25</c:v>
                </c:pt>
                <c:pt idx="220">
                  <c:v>0.25</c:v>
                </c:pt>
                <c:pt idx="221">
                  <c:v>0.25</c:v>
                </c:pt>
                <c:pt idx="222">
                  <c:v>0.25</c:v>
                </c:pt>
                <c:pt idx="223">
                  <c:v>0.25</c:v>
                </c:pt>
                <c:pt idx="224">
                  <c:v>0.25</c:v>
                </c:pt>
                <c:pt idx="225">
                  <c:v>0.25</c:v>
                </c:pt>
                <c:pt idx="226">
                  <c:v>0.25</c:v>
                </c:pt>
                <c:pt idx="227">
                  <c:v>0.25</c:v>
                </c:pt>
                <c:pt idx="228">
                  <c:v>0.25</c:v>
                </c:pt>
                <c:pt idx="229">
                  <c:v>0.25</c:v>
                </c:pt>
                <c:pt idx="230">
                  <c:v>0.25</c:v>
                </c:pt>
                <c:pt idx="231">
                  <c:v>0.25</c:v>
                </c:pt>
                <c:pt idx="232">
                  <c:v>0.25</c:v>
                </c:pt>
                <c:pt idx="233">
                  <c:v>0.25</c:v>
                </c:pt>
                <c:pt idx="234">
                  <c:v>0.25</c:v>
                </c:pt>
                <c:pt idx="235">
                  <c:v>0.25</c:v>
                </c:pt>
                <c:pt idx="236">
                  <c:v>0.25</c:v>
                </c:pt>
                <c:pt idx="237">
                  <c:v>0.25</c:v>
                </c:pt>
                <c:pt idx="238">
                  <c:v>0.25</c:v>
                </c:pt>
                <c:pt idx="239">
                  <c:v>0.25</c:v>
                </c:pt>
                <c:pt idx="240">
                  <c:v>0.25</c:v>
                </c:pt>
                <c:pt idx="241">
                  <c:v>0.25</c:v>
                </c:pt>
                <c:pt idx="242">
                  <c:v>0.25</c:v>
                </c:pt>
                <c:pt idx="243">
                  <c:v>0.25</c:v>
                </c:pt>
                <c:pt idx="244">
                  <c:v>0.25</c:v>
                </c:pt>
                <c:pt idx="245">
                  <c:v>0.25</c:v>
                </c:pt>
                <c:pt idx="246">
                  <c:v>0.25</c:v>
                </c:pt>
                <c:pt idx="247">
                  <c:v>0.25</c:v>
                </c:pt>
                <c:pt idx="248">
                  <c:v>0.25</c:v>
                </c:pt>
                <c:pt idx="249">
                  <c:v>0.25</c:v>
                </c:pt>
                <c:pt idx="250">
                  <c:v>0.25</c:v>
                </c:pt>
                <c:pt idx="251">
                  <c:v>0.25</c:v>
                </c:pt>
                <c:pt idx="252">
                  <c:v>0.25</c:v>
                </c:pt>
                <c:pt idx="253">
                  <c:v>0.25</c:v>
                </c:pt>
                <c:pt idx="254">
                  <c:v>0.25</c:v>
                </c:pt>
                <c:pt idx="255">
                  <c:v>0.25</c:v>
                </c:pt>
                <c:pt idx="256">
                  <c:v>0.25</c:v>
                </c:pt>
                <c:pt idx="257">
                  <c:v>0.25</c:v>
                </c:pt>
                <c:pt idx="258">
                  <c:v>0.25</c:v>
                </c:pt>
                <c:pt idx="259">
                  <c:v>0.25</c:v>
                </c:pt>
                <c:pt idx="260">
                  <c:v>0.25</c:v>
                </c:pt>
                <c:pt idx="261">
                  <c:v>0.25</c:v>
                </c:pt>
                <c:pt idx="262">
                  <c:v>0.25</c:v>
                </c:pt>
                <c:pt idx="263">
                  <c:v>0.25</c:v>
                </c:pt>
                <c:pt idx="264">
                  <c:v>0.25</c:v>
                </c:pt>
                <c:pt idx="265">
                  <c:v>0.25</c:v>
                </c:pt>
                <c:pt idx="266">
                  <c:v>0.25</c:v>
                </c:pt>
                <c:pt idx="267">
                  <c:v>0.25</c:v>
                </c:pt>
                <c:pt idx="268">
                  <c:v>0.25</c:v>
                </c:pt>
                <c:pt idx="269">
                  <c:v>0.25</c:v>
                </c:pt>
                <c:pt idx="270">
                  <c:v>0.75</c:v>
                </c:pt>
                <c:pt idx="271">
                  <c:v>0.75</c:v>
                </c:pt>
                <c:pt idx="272">
                  <c:v>1.5</c:v>
                </c:pt>
                <c:pt idx="273">
                  <c:v>1.5</c:v>
                </c:pt>
                <c:pt idx="274">
                  <c:v>2.25</c:v>
                </c:pt>
                <c:pt idx="275">
                  <c:v>2.75</c:v>
                </c:pt>
                <c:pt idx="276">
                  <c:v>2.75</c:v>
                </c:pt>
                <c:pt idx="277">
                  <c:v>3.25</c:v>
                </c:pt>
                <c:pt idx="278">
                  <c:v>3.75</c:v>
                </c:pt>
                <c:pt idx="279">
                  <c:v>3.75</c:v>
                </c:pt>
                <c:pt idx="280">
                  <c:v>4</c:v>
                </c:pt>
                <c:pt idx="281">
                  <c:v>4.25</c:v>
                </c:pt>
                <c:pt idx="282">
                  <c:v>4.25</c:v>
                </c:pt>
                <c:pt idx="283">
                  <c:v>4.5</c:v>
                </c:pt>
                <c:pt idx="284">
                  <c:v>4.75</c:v>
                </c:pt>
                <c:pt idx="285">
                  <c:v>4.75</c:v>
                </c:pt>
                <c:pt idx="286">
                  <c:v>4.75</c:v>
                </c:pt>
                <c:pt idx="287">
                  <c:v>4.75</c:v>
                </c:pt>
                <c:pt idx="288">
                  <c:v>4.75</c:v>
                </c:pt>
                <c:pt idx="289">
                  <c:v>4.75</c:v>
                </c:pt>
                <c:pt idx="290">
                  <c:v>4.75</c:v>
                </c:pt>
                <c:pt idx="291">
                  <c:v>4.75</c:v>
                </c:pt>
                <c:pt idx="292">
                  <c:v>4.75</c:v>
                </c:pt>
                <c:pt idx="293">
                  <c:v>4.5</c:v>
                </c:pt>
                <c:pt idx="294">
                  <c:v>4.5</c:v>
                </c:pt>
                <c:pt idx="295">
                  <c:v>4.5</c:v>
                </c:pt>
                <c:pt idx="296">
                  <c:v>3.9</c:v>
                </c:pt>
                <c:pt idx="297">
                  <c:v>3.65</c:v>
                </c:pt>
                <c:pt idx="298">
                  <c:v>3.65</c:v>
                </c:pt>
                <c:pt idx="299">
                  <c:v>3.4</c:v>
                </c:pt>
                <c:pt idx="300">
                  <c:v>3.4</c:v>
                </c:pt>
                <c:pt idx="301">
                  <c:v>3.15</c:v>
                </c:pt>
                <c:pt idx="302">
                  <c:v>2.9</c:v>
                </c:pt>
                <c:pt idx="303">
                  <c:v>2.65</c:v>
                </c:pt>
                <c:pt idx="304">
                  <c:v>2.65</c:v>
                </c:pt>
                <c:pt idx="305">
                  <c:v>2.4</c:v>
                </c:pt>
                <c:pt idx="306">
                  <c:v>2.4</c:v>
                </c:pt>
                <c:pt idx="307">
                  <c:v>2.4</c:v>
                </c:pt>
                <c:pt idx="308">
                  <c:v>2.4</c:v>
                </c:pt>
                <c:pt idx="309">
                  <c:v>2.4</c:v>
                </c:pt>
                <c:pt idx="310">
                  <c:v>2.4</c:v>
                </c:pt>
                <c:pt idx="311">
                  <c:v>2.4</c:v>
                </c:pt>
                <c:pt idx="312">
                  <c:v>2.4</c:v>
                </c:pt>
                <c:pt idx="313">
                  <c:v>2.4</c:v>
                </c:pt>
                <c:pt idx="314">
                  <c:v>2.4</c:v>
                </c:pt>
                <c:pt idx="315">
                  <c:v>2.4</c:v>
                </c:pt>
                <c:pt idx="316">
                  <c:v>2.4</c:v>
                </c:pt>
              </c:numCache>
            </c:numRef>
          </c:val>
          <c:smooth val="0"/>
          <c:extLst>
            <c:ext xmlns:c16="http://schemas.microsoft.com/office/drawing/2014/chart" uri="{C3380CC4-5D6E-409C-BE32-E72D297353CC}">
              <c16:uniqueId val="{00000002-8CE2-42AA-9A86-32784615D9B1}"/>
            </c:ext>
          </c:extLst>
        </c:ser>
        <c:dLbls>
          <c:showLegendKey val="0"/>
          <c:showVal val="0"/>
          <c:showCatName val="0"/>
          <c:showSerName val="0"/>
          <c:showPercent val="0"/>
          <c:showBubbleSize val="0"/>
        </c:dLbls>
        <c:smooth val="0"/>
        <c:axId val="172733184"/>
        <c:axId val="172734720"/>
      </c:lineChart>
      <c:dateAx>
        <c:axId val="172733184"/>
        <c:scaling>
          <c:orientation val="minMax"/>
        </c:scaling>
        <c:delete val="0"/>
        <c:axPos val="b"/>
        <c:numFmt formatCode="yyyy" sourceLinked="0"/>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172734720"/>
        <c:crosses val="autoZero"/>
        <c:auto val="1"/>
        <c:lblOffset val="100"/>
        <c:baseTimeUnit val="months"/>
        <c:majorUnit val="1"/>
        <c:majorTimeUnit val="years"/>
        <c:minorUnit val="1"/>
        <c:minorTimeUnit val="years"/>
      </c:dateAx>
      <c:valAx>
        <c:axId val="1727347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172733184"/>
        <c:crosses val="autoZero"/>
        <c:crossBetween val="between"/>
      </c:valAx>
      <c:spPr>
        <a:noFill/>
        <a:ln>
          <a:noFill/>
        </a:ln>
        <a:effectLst/>
      </c:spPr>
    </c:plotArea>
    <c:legend>
      <c:legendPos val="b"/>
      <c:layout>
        <c:manualLayout>
          <c:xMode val="edge"/>
          <c:yMode val="edge"/>
          <c:x val="0.39274695314248509"/>
          <c:y val="4.7681444710715511E-2"/>
          <c:w val="0.47676873724117819"/>
          <c:h val="0.2085101387643000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14D51-490E-4E4B-9CE1-562D17049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3651</Words>
  <Characters>21737</Characters>
  <Application>Microsoft Office Word</Application>
  <DocSecurity>0</DocSecurity>
  <Lines>524</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2026-05-19T14:56:00Z</dcterms:created>
  <dcterms:modified xsi:type="dcterms:W3CDTF">2026-05-19T15:20:00Z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19343b8d,47e9ba49,2fd81726</vt:lpwstr>
  </property>
  <property fmtid="{D5CDD505-2E9C-101B-9397-08002B2CF9AE}" pid="3" name="ClassificationContentMarkingHeaderFontProps">
    <vt:lpwstr>#000000,10,Aptos</vt:lpwstr>
  </property>
  <property fmtid="{D5CDD505-2E9C-101B-9397-08002B2CF9AE}" pid="4" name="ClassificationContentMarkingHeaderText">
    <vt:lpwstr>ΠΕΡΙΟΡΙΣΜΕΝΗΣ ΕΣΩΤΕΡΙΚΗΣ ΔΙΑΝΟΜΗΣ           </vt:lpwstr>
  </property>
  <property fmtid="{D5CDD505-2E9C-101B-9397-08002B2CF9AE}" pid="5" name="MSIP_Label_8666ca18-1a45-4cba-8d0e-5e071d9cfdfd_Enabled">
    <vt:lpwstr>true</vt:lpwstr>
  </property>
  <property fmtid="{D5CDD505-2E9C-101B-9397-08002B2CF9AE}" pid="6" name="MSIP_Label_8666ca18-1a45-4cba-8d0e-5e071d9cfdfd_SetDate">
    <vt:lpwstr>2026-05-19T14:57:35Z</vt:lpwstr>
  </property>
  <property fmtid="{D5CDD505-2E9C-101B-9397-08002B2CF9AE}" pid="7" name="MSIP_Label_8666ca18-1a45-4cba-8d0e-5e071d9cfdfd_Method">
    <vt:lpwstr>Standard</vt:lpwstr>
  </property>
  <property fmtid="{D5CDD505-2E9C-101B-9397-08002B2CF9AE}" pid="8" name="MSIP_Label_8666ca18-1a45-4cba-8d0e-5e071d9cfdfd_Name">
    <vt:lpwstr>ΠΕΡΙΟΡΙΣΜΕΝΗΣ ΕΣΩΤΕΡΙΚΗΣ ΔΙΑΝΟΜΗΣ</vt:lpwstr>
  </property>
  <property fmtid="{D5CDD505-2E9C-101B-9397-08002B2CF9AE}" pid="9" name="MSIP_Label_8666ca18-1a45-4cba-8d0e-5e071d9cfdfd_SiteId">
    <vt:lpwstr>dabae695-3d3b-4e5d-ab49-009605ba5c68</vt:lpwstr>
  </property>
  <property fmtid="{D5CDD505-2E9C-101B-9397-08002B2CF9AE}" pid="10" name="MSIP_Label_8666ca18-1a45-4cba-8d0e-5e071d9cfdfd_ActionId">
    <vt:lpwstr>decb436f-42a0-469b-9c67-16cc4b794405</vt:lpwstr>
  </property>
  <property fmtid="{D5CDD505-2E9C-101B-9397-08002B2CF9AE}" pid="11" name="MSIP_Label_8666ca18-1a45-4cba-8d0e-5e071d9cfdfd_ContentBits">
    <vt:lpwstr>1</vt:lpwstr>
  </property>
  <property fmtid="{D5CDD505-2E9C-101B-9397-08002B2CF9AE}" pid="12" name="MSIP_Label_8666ca18-1a45-4cba-8d0e-5e071d9cfdfd_Tag">
    <vt:lpwstr>10, 3, 0, 1</vt:lpwstr>
  </property>
</Properties>
</file>